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72417">
      <w:pPr>
        <w:spacing w:line="400" w:lineRule="atLeast"/>
        <w:jc w:val="left"/>
        <w:rPr>
          <w:rFonts w:ascii="宋体" w:hAnsi="宋体"/>
          <w:b/>
          <w:sz w:val="56"/>
          <w:szCs w:val="28"/>
        </w:rPr>
      </w:pPr>
      <w:bookmarkStart w:id="0" w:name="_Toc527495447"/>
    </w:p>
    <w:p w14:paraId="03AA7F5F">
      <w:pPr>
        <w:spacing w:line="400" w:lineRule="atLeast"/>
        <w:jc w:val="center"/>
        <w:rPr>
          <w:rFonts w:ascii="宋体" w:hAnsi="宋体"/>
          <w:b/>
          <w:sz w:val="52"/>
          <w:highlight w:val="none"/>
        </w:rPr>
      </w:pPr>
      <w:r>
        <w:rPr>
          <w:rFonts w:hint="eastAsia" w:ascii="宋体" w:hAnsi="宋体"/>
          <w:b/>
          <w:sz w:val="56"/>
          <w:szCs w:val="28"/>
          <w:highlight w:val="none"/>
        </w:rPr>
        <w:t>温州港乐清湾港务有限公司</w:t>
      </w:r>
    </w:p>
    <w:p w14:paraId="5593DFAF">
      <w:pPr>
        <w:pStyle w:val="3"/>
        <w:rPr>
          <w:rFonts w:ascii="宋体" w:hAnsi="宋体"/>
          <w:b/>
          <w:sz w:val="52"/>
          <w:highlight w:val="none"/>
        </w:rPr>
      </w:pPr>
    </w:p>
    <w:p w14:paraId="79806FCD">
      <w:pPr>
        <w:autoSpaceDE w:val="0"/>
        <w:autoSpaceDN w:val="0"/>
        <w:spacing w:line="500" w:lineRule="atLeast"/>
        <w:jc w:val="center"/>
        <w:textAlignment w:val="bottom"/>
        <w:rPr>
          <w:rFonts w:ascii="宋体" w:hAnsi="宋体"/>
          <w:b/>
          <w:bCs/>
          <w:sz w:val="72"/>
          <w:szCs w:val="72"/>
          <w:highlight w:val="none"/>
        </w:rPr>
      </w:pPr>
    </w:p>
    <w:p w14:paraId="2D33091C">
      <w:pPr>
        <w:autoSpaceDE w:val="0"/>
        <w:autoSpaceDN w:val="0"/>
        <w:spacing w:line="500" w:lineRule="atLeast"/>
        <w:jc w:val="center"/>
        <w:textAlignment w:val="bottom"/>
        <w:rPr>
          <w:rFonts w:ascii="宋体" w:hAnsi="宋体"/>
          <w:b/>
          <w:bCs/>
          <w:sz w:val="72"/>
          <w:szCs w:val="72"/>
          <w:highlight w:val="none"/>
        </w:rPr>
      </w:pPr>
      <w:r>
        <w:rPr>
          <w:rFonts w:hint="eastAsia" w:ascii="宋体" w:hAnsi="宋体"/>
          <w:b/>
          <w:bCs/>
          <w:sz w:val="72"/>
          <w:szCs w:val="72"/>
          <w:highlight w:val="none"/>
        </w:rPr>
        <w:t>招 标 文 件</w:t>
      </w:r>
    </w:p>
    <w:p w14:paraId="7EE781E9">
      <w:pPr>
        <w:spacing w:line="400" w:lineRule="atLeast"/>
        <w:jc w:val="center"/>
        <w:rPr>
          <w:rFonts w:ascii="宋体" w:hAnsi="宋体"/>
          <w:b/>
          <w:sz w:val="32"/>
          <w:highlight w:val="none"/>
        </w:rPr>
      </w:pPr>
    </w:p>
    <w:p w14:paraId="1CB6FE68">
      <w:pPr>
        <w:spacing w:line="400" w:lineRule="exact"/>
        <w:jc w:val="center"/>
        <w:rPr>
          <w:rFonts w:ascii="宋体" w:hAnsi="宋体"/>
          <w:b/>
          <w:bCs/>
          <w:sz w:val="32"/>
          <w:szCs w:val="32"/>
          <w:highlight w:val="none"/>
        </w:rPr>
      </w:pPr>
    </w:p>
    <w:p w14:paraId="5ED3D79D">
      <w:pPr>
        <w:pStyle w:val="3"/>
        <w:rPr>
          <w:highlight w:val="none"/>
        </w:rPr>
      </w:pPr>
    </w:p>
    <w:p w14:paraId="6E116650">
      <w:pPr>
        <w:jc w:val="center"/>
        <w:rPr>
          <w:rFonts w:ascii="宋体" w:hAnsi="宋体"/>
          <w:b/>
          <w:bCs/>
          <w:sz w:val="24"/>
          <w:highlight w:val="none"/>
        </w:rPr>
      </w:pPr>
    </w:p>
    <w:p w14:paraId="52F165DD">
      <w:pPr>
        <w:jc w:val="center"/>
        <w:rPr>
          <w:rFonts w:ascii="宋体" w:hAnsi="宋体"/>
          <w:b/>
          <w:bCs/>
          <w:sz w:val="24"/>
          <w:highlight w:val="none"/>
        </w:rPr>
      </w:pPr>
    </w:p>
    <w:p w14:paraId="65271F89">
      <w:pPr>
        <w:tabs>
          <w:tab w:val="left" w:pos="1985"/>
          <w:tab w:val="left" w:pos="4860"/>
        </w:tabs>
        <w:spacing w:line="600" w:lineRule="exact"/>
        <w:ind w:left="-1" w:leftChars="-95" w:right="98" w:hanging="198" w:hangingChars="52"/>
        <w:jc w:val="left"/>
        <w:rPr>
          <w:rFonts w:ascii="宋体" w:hAnsi="宋体"/>
          <w:b/>
          <w:spacing w:val="40"/>
          <w:sz w:val="28"/>
          <w:szCs w:val="28"/>
          <w:highlight w:val="none"/>
        </w:rPr>
      </w:pPr>
      <w:r>
        <w:rPr>
          <w:rFonts w:hint="eastAsia" w:ascii="宋体" w:hAnsi="宋体"/>
          <w:b/>
          <w:spacing w:val="40"/>
          <w:sz w:val="30"/>
          <w:szCs w:val="30"/>
          <w:highlight w:val="none"/>
        </w:rPr>
        <w:t xml:space="preserve">  </w:t>
      </w:r>
      <w:r>
        <w:rPr>
          <w:rFonts w:hint="eastAsia" w:ascii="宋体" w:hAnsi="宋体"/>
          <w:b/>
          <w:spacing w:val="40"/>
          <w:sz w:val="28"/>
          <w:szCs w:val="28"/>
          <w:highlight w:val="none"/>
        </w:rPr>
        <w:t xml:space="preserve"> 项目编号：YQWGCJS2026074</w:t>
      </w:r>
    </w:p>
    <w:p w14:paraId="06E9AEE0">
      <w:pPr>
        <w:tabs>
          <w:tab w:val="left" w:pos="1985"/>
          <w:tab w:val="left" w:pos="4860"/>
        </w:tabs>
        <w:spacing w:line="600" w:lineRule="exact"/>
        <w:ind w:left="2148" w:leftChars="-95" w:right="-142" w:hanging="2347" w:hangingChars="650"/>
        <w:jc w:val="left"/>
        <w:rPr>
          <w:rFonts w:hint="eastAsia" w:ascii="宋体" w:hAnsi="宋体" w:eastAsia="宋体"/>
          <w:b/>
          <w:spacing w:val="40"/>
          <w:sz w:val="28"/>
          <w:szCs w:val="28"/>
          <w:highlight w:val="none"/>
          <w:lang w:eastAsia="zh-CN"/>
        </w:rPr>
      </w:pPr>
      <w:r>
        <w:rPr>
          <w:rFonts w:hint="eastAsia" w:ascii="宋体" w:hAnsi="宋体"/>
          <w:b/>
          <w:spacing w:val="40"/>
          <w:sz w:val="28"/>
          <w:szCs w:val="28"/>
          <w:highlight w:val="none"/>
        </w:rPr>
        <w:t xml:space="preserve">   项目名称：</w:t>
      </w:r>
      <w:r>
        <w:rPr>
          <w:rFonts w:hint="eastAsia" w:ascii="宋体" w:hAnsi="宋体"/>
          <w:b/>
          <w:spacing w:val="-11"/>
          <w:sz w:val="28"/>
          <w:szCs w:val="28"/>
          <w:highlight w:val="none"/>
          <w:lang w:eastAsia="zh-CN"/>
        </w:rPr>
        <w:t>温州港乐清湾港区A区一期集装箱能力提升工程环境影响评价</w:t>
      </w:r>
    </w:p>
    <w:p w14:paraId="351A492B">
      <w:pPr>
        <w:tabs>
          <w:tab w:val="left" w:pos="4860"/>
        </w:tabs>
        <w:spacing w:line="600" w:lineRule="exact"/>
        <w:ind w:left="-11" w:leftChars="-95" w:right="1143" w:hanging="188" w:hangingChars="52"/>
        <w:jc w:val="left"/>
        <w:rPr>
          <w:rFonts w:ascii="宋体" w:hAnsi="宋体"/>
          <w:b/>
          <w:spacing w:val="40"/>
          <w:sz w:val="28"/>
          <w:szCs w:val="28"/>
          <w:highlight w:val="none"/>
        </w:rPr>
      </w:pPr>
      <w:r>
        <w:rPr>
          <w:rFonts w:hint="eastAsia" w:ascii="宋体" w:hAnsi="宋体"/>
          <w:b/>
          <w:spacing w:val="40"/>
          <w:sz w:val="28"/>
          <w:szCs w:val="28"/>
          <w:highlight w:val="none"/>
        </w:rPr>
        <w:t xml:space="preserve">   招标方式</w:t>
      </w:r>
      <w:r>
        <w:rPr>
          <w:rFonts w:hint="eastAsia" w:ascii="宋体" w:hAnsi="宋体"/>
          <w:b/>
          <w:sz w:val="28"/>
          <w:szCs w:val="28"/>
          <w:highlight w:val="none"/>
        </w:rPr>
        <w:t>：公 开 招 标</w:t>
      </w:r>
    </w:p>
    <w:p w14:paraId="76FD9C76">
      <w:pPr>
        <w:ind w:left="-53" w:leftChars="-95" w:hanging="146" w:hangingChars="52"/>
        <w:jc w:val="center"/>
        <w:rPr>
          <w:rFonts w:ascii="宋体" w:hAnsi="宋体"/>
          <w:b/>
          <w:bCs/>
          <w:sz w:val="28"/>
          <w:szCs w:val="28"/>
          <w:highlight w:val="none"/>
        </w:rPr>
      </w:pPr>
    </w:p>
    <w:p w14:paraId="020C8084">
      <w:pPr>
        <w:ind w:left="-53" w:leftChars="-95" w:hanging="146" w:hangingChars="52"/>
        <w:rPr>
          <w:rFonts w:ascii="宋体" w:hAnsi="宋体"/>
          <w:b/>
          <w:bCs/>
          <w:sz w:val="28"/>
          <w:szCs w:val="28"/>
          <w:highlight w:val="none"/>
        </w:rPr>
      </w:pPr>
    </w:p>
    <w:p w14:paraId="33E92F7A">
      <w:pPr>
        <w:tabs>
          <w:tab w:val="left" w:pos="4860"/>
        </w:tabs>
        <w:spacing w:line="600" w:lineRule="exact"/>
        <w:ind w:left="-11" w:leftChars="-95" w:hanging="188" w:hangingChars="52"/>
        <w:jc w:val="left"/>
        <w:rPr>
          <w:rFonts w:ascii="宋体" w:hAnsi="宋体"/>
          <w:b/>
          <w:spacing w:val="40"/>
          <w:sz w:val="28"/>
          <w:szCs w:val="28"/>
          <w:highlight w:val="none"/>
        </w:rPr>
      </w:pPr>
    </w:p>
    <w:p w14:paraId="4A5B4A41">
      <w:pPr>
        <w:tabs>
          <w:tab w:val="left" w:pos="4860"/>
        </w:tabs>
        <w:spacing w:line="600" w:lineRule="exact"/>
        <w:ind w:left="-10" w:firstLine="430" w:firstLineChars="119"/>
        <w:rPr>
          <w:rFonts w:ascii="宋体" w:hAnsi="宋体"/>
          <w:b/>
          <w:spacing w:val="40"/>
          <w:sz w:val="28"/>
          <w:szCs w:val="28"/>
          <w:highlight w:val="none"/>
        </w:rPr>
      </w:pPr>
      <w:r>
        <w:rPr>
          <w:rFonts w:hint="eastAsia" w:ascii="宋体" w:hAnsi="宋体"/>
          <w:b/>
          <w:spacing w:val="40"/>
          <w:sz w:val="28"/>
          <w:szCs w:val="28"/>
          <w:highlight w:val="none"/>
        </w:rPr>
        <w:t>招 标 人：温州港乐清湾港务有限公司</w:t>
      </w:r>
    </w:p>
    <w:p w14:paraId="0FA704A4">
      <w:pPr>
        <w:tabs>
          <w:tab w:val="left" w:pos="4860"/>
        </w:tabs>
        <w:spacing w:line="600" w:lineRule="exact"/>
        <w:ind w:left="-10" w:firstLine="430" w:firstLineChars="119"/>
        <w:rPr>
          <w:rFonts w:ascii="宋体" w:hAnsi="宋体"/>
          <w:b/>
          <w:spacing w:val="40"/>
          <w:sz w:val="28"/>
          <w:szCs w:val="28"/>
          <w:highlight w:val="none"/>
        </w:rPr>
      </w:pPr>
      <w:r>
        <w:rPr>
          <w:rFonts w:hint="eastAsia" w:ascii="宋体" w:hAnsi="宋体"/>
          <w:b/>
          <w:spacing w:val="40"/>
          <w:sz w:val="28"/>
          <w:szCs w:val="28"/>
          <w:highlight w:val="none"/>
        </w:rPr>
        <w:t>招标代理机构：华信咨询设计研究院有限公司</w:t>
      </w:r>
    </w:p>
    <w:p w14:paraId="4A94DC19">
      <w:pPr>
        <w:spacing w:line="600" w:lineRule="exact"/>
        <w:jc w:val="center"/>
        <w:rPr>
          <w:rFonts w:ascii="宋体" w:hAnsi="宋体" w:cs="宋体"/>
          <w:spacing w:val="40"/>
          <w:sz w:val="30"/>
          <w:szCs w:val="30"/>
          <w:highlight w:val="none"/>
        </w:rPr>
      </w:pPr>
      <w:r>
        <w:rPr>
          <w:rFonts w:hint="eastAsia" w:ascii="宋体" w:hAnsi="宋体" w:cs="宋体"/>
          <w:spacing w:val="40"/>
          <w:sz w:val="30"/>
          <w:szCs w:val="30"/>
          <w:highlight w:val="none"/>
        </w:rPr>
        <w:t>二〇二六年 月</w:t>
      </w:r>
    </w:p>
    <w:p w14:paraId="1139C83A">
      <w:pPr>
        <w:pStyle w:val="75"/>
        <w:jc w:val="center"/>
        <w:rPr>
          <w:color w:val="auto"/>
          <w:sz w:val="32"/>
          <w:highlight w:val="none"/>
          <w:lang w:val="zh-CN"/>
        </w:rPr>
        <w:sectPr>
          <w:pgSz w:w="11907" w:h="16840"/>
          <w:pgMar w:top="1134" w:right="1134" w:bottom="1134" w:left="1134" w:header="964" w:footer="851" w:gutter="0"/>
          <w:cols w:space="720" w:num="1"/>
          <w:docGrid w:type="lines" w:linePitch="312" w:charSpace="0"/>
        </w:sectPr>
      </w:pPr>
    </w:p>
    <w:p w14:paraId="7867C646">
      <w:pPr>
        <w:pStyle w:val="75"/>
        <w:jc w:val="center"/>
        <w:rPr>
          <w:color w:val="auto"/>
          <w:szCs w:val="24"/>
          <w:highlight w:val="none"/>
        </w:rPr>
      </w:pPr>
      <w:r>
        <w:rPr>
          <w:color w:val="auto"/>
          <w:szCs w:val="24"/>
          <w:highlight w:val="none"/>
          <w:lang w:val="zh-CN"/>
        </w:rPr>
        <w:t>目录</w:t>
      </w:r>
    </w:p>
    <w:sdt>
      <w:sdtPr>
        <w:rPr>
          <w:rFonts w:ascii="宋体" w:hAnsi="宋体"/>
          <w:highlight w:val="none"/>
        </w:rPr>
        <w:id w:val="147482466"/>
        <w15:color w:val="DBDBDB"/>
        <w:docPartObj>
          <w:docPartGallery w:val="Table of Contents"/>
          <w:docPartUnique/>
        </w:docPartObj>
      </w:sdtPr>
      <w:sdtEndPr>
        <w:rPr>
          <w:rFonts w:ascii="Times New Roman" w:hAnsi="Times New Roman"/>
          <w:highlight w:val="none"/>
        </w:rPr>
      </w:sdtEndPr>
      <w:sdtContent>
        <w:p w14:paraId="1D5CC4BD">
          <w:pPr>
            <w:jc w:val="center"/>
            <w:rPr>
              <w:highlight w:val="none"/>
            </w:rPr>
          </w:pPr>
        </w:p>
        <w:p w14:paraId="522C860B">
          <w:pPr>
            <w:pStyle w:val="26"/>
            <w:tabs>
              <w:tab w:val="right" w:leader="dot" w:pos="9203"/>
            </w:tabs>
            <w:spacing w:line="360" w:lineRule="auto"/>
            <w:rPr>
              <w:rFonts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TOC \o "1-3" \h \u </w:instrText>
          </w:r>
          <w:r>
            <w:rPr>
              <w:rFonts w:hint="eastAsia" w:ascii="宋体" w:hAnsi="宋体" w:cs="宋体"/>
              <w:sz w:val="22"/>
              <w:szCs w:val="22"/>
              <w:highlight w:val="none"/>
            </w:rPr>
            <w:fldChar w:fldCharType="separate"/>
          </w:r>
          <w:r>
            <w:rPr>
              <w:highlight w:val="none"/>
            </w:rPr>
            <w:fldChar w:fldCharType="begin"/>
          </w:r>
          <w:r>
            <w:rPr>
              <w:highlight w:val="none"/>
            </w:rPr>
            <w:instrText xml:space="preserve"> HYPERLINK \l "_Toc26577" </w:instrText>
          </w:r>
          <w:r>
            <w:rPr>
              <w:highlight w:val="none"/>
            </w:rPr>
            <w:fldChar w:fldCharType="separate"/>
          </w:r>
          <w:r>
            <w:rPr>
              <w:rFonts w:hint="eastAsia" w:ascii="宋体" w:hAnsi="宋体" w:cs="宋体"/>
              <w:sz w:val="22"/>
              <w:szCs w:val="22"/>
              <w:highlight w:val="none"/>
            </w:rPr>
            <w:t>第一章  招标公告</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_Toc26577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6D5C669F">
          <w:pPr>
            <w:pStyle w:val="26"/>
            <w:tabs>
              <w:tab w:val="right" w:leader="dot" w:pos="9203"/>
            </w:tabs>
            <w:spacing w:line="360" w:lineRule="auto"/>
            <w:rPr>
              <w:rFonts w:ascii="宋体" w:hAnsi="宋体" w:cs="宋体"/>
              <w:sz w:val="22"/>
              <w:szCs w:val="22"/>
              <w:highlight w:val="none"/>
            </w:rPr>
          </w:pPr>
          <w:r>
            <w:rPr>
              <w:highlight w:val="none"/>
            </w:rPr>
            <w:fldChar w:fldCharType="begin"/>
          </w:r>
          <w:r>
            <w:rPr>
              <w:highlight w:val="none"/>
            </w:rPr>
            <w:instrText xml:space="preserve"> HYPERLINK \l "_Toc6658" </w:instrText>
          </w:r>
          <w:r>
            <w:rPr>
              <w:highlight w:val="none"/>
            </w:rPr>
            <w:fldChar w:fldCharType="separate"/>
          </w:r>
          <w:r>
            <w:rPr>
              <w:rFonts w:hint="eastAsia" w:ascii="宋体" w:hAnsi="宋体" w:cs="宋体"/>
              <w:sz w:val="22"/>
              <w:szCs w:val="22"/>
              <w:highlight w:val="none"/>
            </w:rPr>
            <w:t>第二章  招标需求</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_Toc6658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18A3F4E2">
          <w:pPr>
            <w:pStyle w:val="26"/>
            <w:tabs>
              <w:tab w:val="right" w:leader="dot" w:pos="9203"/>
            </w:tabs>
            <w:spacing w:line="360" w:lineRule="auto"/>
            <w:rPr>
              <w:rFonts w:ascii="宋体" w:hAnsi="宋体" w:cs="宋体"/>
              <w:sz w:val="22"/>
              <w:szCs w:val="22"/>
              <w:highlight w:val="none"/>
            </w:rPr>
          </w:pPr>
          <w:r>
            <w:rPr>
              <w:highlight w:val="none"/>
            </w:rPr>
            <w:fldChar w:fldCharType="begin"/>
          </w:r>
          <w:r>
            <w:rPr>
              <w:highlight w:val="none"/>
            </w:rPr>
            <w:instrText xml:space="preserve"> HYPERLINK \l "_Toc11775" </w:instrText>
          </w:r>
          <w:r>
            <w:rPr>
              <w:highlight w:val="none"/>
            </w:rPr>
            <w:fldChar w:fldCharType="separate"/>
          </w:r>
          <w:r>
            <w:rPr>
              <w:rFonts w:hint="eastAsia" w:ascii="宋体" w:hAnsi="宋体" w:cs="宋体"/>
              <w:sz w:val="22"/>
              <w:szCs w:val="22"/>
              <w:highlight w:val="none"/>
            </w:rPr>
            <w:t>第三章  投标人须知前附表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_Toc11775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71112177">
          <w:pPr>
            <w:pStyle w:val="26"/>
            <w:tabs>
              <w:tab w:val="right" w:leader="dot" w:pos="9203"/>
            </w:tabs>
            <w:spacing w:line="360" w:lineRule="auto"/>
            <w:ind w:firstLine="210" w:firstLineChars="100"/>
            <w:rPr>
              <w:rFonts w:ascii="宋体" w:hAnsi="宋体" w:cs="宋体"/>
              <w:sz w:val="22"/>
              <w:szCs w:val="22"/>
              <w:highlight w:val="none"/>
            </w:rPr>
          </w:pPr>
          <w:r>
            <w:rPr>
              <w:highlight w:val="none"/>
            </w:rPr>
            <w:fldChar w:fldCharType="begin"/>
          </w:r>
          <w:r>
            <w:rPr>
              <w:highlight w:val="none"/>
            </w:rPr>
            <w:instrText xml:space="preserve"> HYPERLINK \l "_Toc392" </w:instrText>
          </w:r>
          <w:r>
            <w:rPr>
              <w:highlight w:val="none"/>
            </w:rPr>
            <w:fldChar w:fldCharType="separate"/>
          </w:r>
          <w:r>
            <w:rPr>
              <w:rFonts w:hint="eastAsia" w:ascii="宋体" w:hAnsi="宋体" w:cs="宋体"/>
              <w:sz w:val="22"/>
              <w:szCs w:val="22"/>
              <w:highlight w:val="none"/>
            </w:rPr>
            <w:t>一   总  则</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_Toc392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5DDC0011">
          <w:pPr>
            <w:pStyle w:val="26"/>
            <w:tabs>
              <w:tab w:val="right" w:leader="dot" w:pos="9203"/>
            </w:tabs>
            <w:spacing w:line="360" w:lineRule="auto"/>
            <w:ind w:firstLine="210" w:firstLineChars="100"/>
            <w:rPr>
              <w:rFonts w:ascii="宋体" w:hAnsi="宋体" w:cs="宋体"/>
              <w:sz w:val="22"/>
              <w:szCs w:val="22"/>
              <w:highlight w:val="none"/>
            </w:rPr>
          </w:pPr>
          <w:r>
            <w:rPr>
              <w:highlight w:val="none"/>
            </w:rPr>
            <w:fldChar w:fldCharType="begin"/>
          </w:r>
          <w:r>
            <w:rPr>
              <w:highlight w:val="none"/>
            </w:rPr>
            <w:instrText xml:space="preserve"> HYPERLINK \l "_Toc18631" </w:instrText>
          </w:r>
          <w:r>
            <w:rPr>
              <w:highlight w:val="none"/>
            </w:rPr>
            <w:fldChar w:fldCharType="separate"/>
          </w:r>
          <w:r>
            <w:rPr>
              <w:rFonts w:hint="eastAsia" w:ascii="宋体" w:hAnsi="宋体" w:cs="宋体"/>
              <w:sz w:val="22"/>
              <w:szCs w:val="22"/>
              <w:highlight w:val="none"/>
            </w:rPr>
            <w:t>二   招标文件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_Toc18631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7A92D911">
          <w:pPr>
            <w:pStyle w:val="26"/>
            <w:tabs>
              <w:tab w:val="right" w:leader="dot" w:pos="9203"/>
            </w:tabs>
            <w:spacing w:line="360" w:lineRule="auto"/>
            <w:ind w:firstLine="210" w:firstLineChars="100"/>
            <w:rPr>
              <w:rFonts w:ascii="宋体" w:hAnsi="宋体" w:cs="宋体"/>
              <w:sz w:val="22"/>
              <w:szCs w:val="22"/>
              <w:highlight w:val="none"/>
            </w:rPr>
          </w:pPr>
          <w:r>
            <w:rPr>
              <w:highlight w:val="none"/>
            </w:rPr>
            <w:fldChar w:fldCharType="begin"/>
          </w:r>
          <w:r>
            <w:rPr>
              <w:highlight w:val="none"/>
            </w:rPr>
            <w:instrText xml:space="preserve"> HYPERLINK \l "_Toc21548" </w:instrText>
          </w:r>
          <w:r>
            <w:rPr>
              <w:highlight w:val="none"/>
            </w:rPr>
            <w:fldChar w:fldCharType="separate"/>
          </w:r>
          <w:r>
            <w:rPr>
              <w:rFonts w:hint="eastAsia" w:ascii="宋体" w:hAnsi="宋体" w:cs="宋体"/>
              <w:sz w:val="22"/>
              <w:szCs w:val="22"/>
              <w:highlight w:val="none"/>
            </w:rPr>
            <w:t>三   投标文件的编制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_Toc21548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1258141C">
          <w:pPr>
            <w:pStyle w:val="26"/>
            <w:tabs>
              <w:tab w:val="right" w:leader="dot" w:pos="9203"/>
            </w:tabs>
            <w:spacing w:line="360" w:lineRule="auto"/>
            <w:ind w:firstLine="210" w:firstLineChars="100"/>
            <w:rPr>
              <w:rFonts w:ascii="宋体" w:hAnsi="宋体" w:cs="宋体"/>
              <w:sz w:val="22"/>
              <w:szCs w:val="22"/>
              <w:highlight w:val="none"/>
            </w:rPr>
          </w:pPr>
          <w:r>
            <w:rPr>
              <w:highlight w:val="none"/>
            </w:rPr>
            <w:fldChar w:fldCharType="begin"/>
          </w:r>
          <w:r>
            <w:rPr>
              <w:highlight w:val="none"/>
            </w:rPr>
            <w:instrText xml:space="preserve"> HYPERLINK \l "_Toc23174" </w:instrText>
          </w:r>
          <w:r>
            <w:rPr>
              <w:highlight w:val="none"/>
            </w:rPr>
            <w:fldChar w:fldCharType="separate"/>
          </w:r>
          <w:r>
            <w:rPr>
              <w:rFonts w:hint="eastAsia" w:ascii="宋体" w:hAnsi="宋体" w:cs="宋体"/>
              <w:sz w:val="22"/>
              <w:szCs w:val="22"/>
              <w:highlight w:val="none"/>
            </w:rPr>
            <w:t>四   重新招标</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_Toc23174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2E306185">
          <w:pPr>
            <w:pStyle w:val="26"/>
            <w:tabs>
              <w:tab w:val="right" w:leader="dot" w:pos="9203"/>
            </w:tabs>
            <w:spacing w:line="360" w:lineRule="auto"/>
            <w:ind w:firstLine="210" w:firstLineChars="100"/>
            <w:rPr>
              <w:rFonts w:ascii="宋体" w:hAnsi="宋体" w:cs="宋体"/>
              <w:sz w:val="22"/>
              <w:szCs w:val="22"/>
              <w:highlight w:val="none"/>
            </w:rPr>
          </w:pPr>
          <w:r>
            <w:rPr>
              <w:highlight w:val="none"/>
            </w:rPr>
            <w:fldChar w:fldCharType="begin"/>
          </w:r>
          <w:r>
            <w:rPr>
              <w:highlight w:val="none"/>
            </w:rPr>
            <w:instrText xml:space="preserve"> HYPERLINK \l "_Toc10764" </w:instrText>
          </w:r>
          <w:r>
            <w:rPr>
              <w:highlight w:val="none"/>
            </w:rPr>
            <w:fldChar w:fldCharType="separate"/>
          </w:r>
          <w:r>
            <w:rPr>
              <w:rFonts w:hint="eastAsia" w:ascii="宋体" w:hAnsi="宋体" w:cs="宋体"/>
              <w:sz w:val="22"/>
              <w:szCs w:val="22"/>
              <w:highlight w:val="none"/>
            </w:rPr>
            <w:t>五   开  标</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_Toc10764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6396254D">
          <w:pPr>
            <w:pStyle w:val="26"/>
            <w:tabs>
              <w:tab w:val="right" w:leader="dot" w:pos="9203"/>
            </w:tabs>
            <w:spacing w:line="360" w:lineRule="auto"/>
            <w:ind w:firstLine="210" w:firstLineChars="100"/>
            <w:rPr>
              <w:rFonts w:ascii="宋体" w:hAnsi="宋体" w:cs="宋体"/>
              <w:sz w:val="22"/>
              <w:szCs w:val="22"/>
              <w:highlight w:val="none"/>
            </w:rPr>
          </w:pPr>
          <w:r>
            <w:rPr>
              <w:highlight w:val="none"/>
            </w:rPr>
            <w:fldChar w:fldCharType="begin"/>
          </w:r>
          <w:r>
            <w:rPr>
              <w:highlight w:val="none"/>
            </w:rPr>
            <w:instrText xml:space="preserve"> HYPERLINK \l "_Toc16173" </w:instrText>
          </w:r>
          <w:r>
            <w:rPr>
              <w:highlight w:val="none"/>
            </w:rPr>
            <w:fldChar w:fldCharType="separate"/>
          </w:r>
          <w:r>
            <w:rPr>
              <w:rFonts w:hint="eastAsia" w:ascii="宋体" w:hAnsi="宋体" w:cs="宋体"/>
              <w:sz w:val="22"/>
              <w:szCs w:val="22"/>
              <w:highlight w:val="none"/>
            </w:rPr>
            <w:t>六   评  标</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_Toc16173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24E02182">
          <w:pPr>
            <w:pStyle w:val="26"/>
            <w:tabs>
              <w:tab w:val="right" w:leader="dot" w:pos="9203"/>
            </w:tabs>
            <w:spacing w:line="360" w:lineRule="auto"/>
            <w:rPr>
              <w:rFonts w:ascii="宋体" w:hAnsi="宋体" w:cs="宋体"/>
              <w:sz w:val="22"/>
              <w:szCs w:val="22"/>
              <w:highlight w:val="none"/>
            </w:rPr>
          </w:pPr>
          <w:r>
            <w:rPr>
              <w:highlight w:val="none"/>
            </w:rPr>
            <w:fldChar w:fldCharType="begin"/>
          </w:r>
          <w:r>
            <w:rPr>
              <w:highlight w:val="none"/>
            </w:rPr>
            <w:instrText xml:space="preserve"> HYPERLINK \l "_Toc12894" </w:instrText>
          </w:r>
          <w:r>
            <w:rPr>
              <w:highlight w:val="none"/>
            </w:rPr>
            <w:fldChar w:fldCharType="separate"/>
          </w:r>
          <w:r>
            <w:rPr>
              <w:rFonts w:hint="eastAsia" w:ascii="宋体" w:hAnsi="宋体" w:cs="宋体"/>
              <w:sz w:val="22"/>
              <w:szCs w:val="22"/>
              <w:highlight w:val="none"/>
            </w:rPr>
            <w:t>第四章  评标办法及评分标准</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_Toc12894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22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39147E90">
          <w:pPr>
            <w:pStyle w:val="26"/>
            <w:tabs>
              <w:tab w:val="right" w:leader="dot" w:pos="9203"/>
            </w:tabs>
            <w:spacing w:line="360" w:lineRule="auto"/>
            <w:rPr>
              <w:rFonts w:ascii="宋体" w:hAnsi="宋体" w:cs="宋体"/>
              <w:sz w:val="22"/>
              <w:szCs w:val="22"/>
              <w:highlight w:val="none"/>
            </w:rPr>
          </w:pPr>
          <w:r>
            <w:rPr>
              <w:highlight w:val="none"/>
            </w:rPr>
            <w:fldChar w:fldCharType="begin"/>
          </w:r>
          <w:r>
            <w:rPr>
              <w:highlight w:val="none"/>
            </w:rPr>
            <w:instrText xml:space="preserve"> HYPERLINK \l "_Toc18428" </w:instrText>
          </w:r>
          <w:r>
            <w:rPr>
              <w:highlight w:val="none"/>
            </w:rPr>
            <w:fldChar w:fldCharType="separate"/>
          </w:r>
          <w:r>
            <w:rPr>
              <w:rFonts w:hint="eastAsia" w:ascii="宋体" w:hAnsi="宋体" w:cs="宋体"/>
              <w:sz w:val="22"/>
              <w:szCs w:val="22"/>
              <w:highlight w:val="none"/>
            </w:rPr>
            <w:t>第五章  合同主要条款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_Toc18428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24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7DB09EB2">
          <w:pPr>
            <w:pStyle w:val="26"/>
            <w:tabs>
              <w:tab w:val="right" w:leader="dot" w:pos="9203"/>
            </w:tabs>
            <w:spacing w:line="360" w:lineRule="auto"/>
            <w:rPr>
              <w:rFonts w:ascii="宋体" w:hAnsi="宋体" w:cs="宋体"/>
              <w:sz w:val="22"/>
              <w:szCs w:val="22"/>
              <w:highlight w:val="none"/>
            </w:rPr>
          </w:pPr>
          <w:r>
            <w:rPr>
              <w:highlight w:val="none"/>
            </w:rPr>
            <w:fldChar w:fldCharType="begin"/>
          </w:r>
          <w:r>
            <w:rPr>
              <w:highlight w:val="none"/>
            </w:rPr>
            <w:instrText xml:space="preserve"> HYPERLINK \l "_Toc25792" </w:instrText>
          </w:r>
          <w:r>
            <w:rPr>
              <w:highlight w:val="none"/>
            </w:rPr>
            <w:fldChar w:fldCharType="separate"/>
          </w:r>
          <w:r>
            <w:rPr>
              <w:rFonts w:hint="eastAsia" w:ascii="宋体" w:hAnsi="宋体" w:cs="宋体"/>
              <w:sz w:val="22"/>
              <w:szCs w:val="22"/>
              <w:highlight w:val="none"/>
            </w:rPr>
            <w:t>第六章  投标文件格式</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_Toc25792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42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165BB3E7">
          <w:pPr>
            <w:pStyle w:val="15"/>
            <w:tabs>
              <w:tab w:val="right" w:leader="dot" w:pos="9639"/>
            </w:tabs>
            <w:rPr>
              <w:rFonts w:ascii="宋体" w:hAnsi="宋体" w:cs="宋体"/>
              <w:sz w:val="22"/>
              <w:szCs w:val="22"/>
              <w:highlight w:val="none"/>
            </w:rPr>
          </w:pPr>
        </w:p>
        <w:p w14:paraId="0239ED19">
          <w:pPr>
            <w:rPr>
              <w:highlight w:val="none"/>
            </w:rPr>
          </w:pPr>
          <w:r>
            <w:rPr>
              <w:rFonts w:hint="eastAsia" w:ascii="宋体" w:hAnsi="宋体" w:cs="宋体"/>
              <w:sz w:val="22"/>
              <w:szCs w:val="22"/>
              <w:highlight w:val="none"/>
            </w:rPr>
            <w:fldChar w:fldCharType="end"/>
          </w:r>
        </w:p>
      </w:sdtContent>
    </w:sdt>
    <w:p w14:paraId="4B7EAB67">
      <w:pPr>
        <w:rPr>
          <w:highlight w:val="none"/>
        </w:rPr>
      </w:pPr>
    </w:p>
    <w:p w14:paraId="4B526B7F">
      <w:pPr>
        <w:spacing w:line="560" w:lineRule="exact"/>
        <w:ind w:firstLine="472" w:firstLineChars="196"/>
        <w:rPr>
          <w:rFonts w:ascii="宋体" w:hAnsi="宋体"/>
          <w:b/>
          <w:bCs/>
          <w:color w:val="000000"/>
          <w:sz w:val="24"/>
          <w:highlight w:val="none"/>
        </w:rPr>
      </w:pPr>
    </w:p>
    <w:p w14:paraId="7C2E2C9B">
      <w:pPr>
        <w:spacing w:line="560" w:lineRule="exact"/>
        <w:ind w:firstLine="472" w:firstLineChars="196"/>
        <w:rPr>
          <w:rFonts w:ascii="宋体" w:hAnsi="宋体"/>
          <w:b/>
          <w:bCs/>
          <w:color w:val="000000"/>
          <w:sz w:val="24"/>
          <w:highlight w:val="none"/>
        </w:rPr>
      </w:pPr>
    </w:p>
    <w:p w14:paraId="66ECD2E3">
      <w:pPr>
        <w:spacing w:line="560" w:lineRule="exact"/>
        <w:ind w:firstLine="472" w:firstLineChars="196"/>
        <w:rPr>
          <w:rFonts w:ascii="宋体" w:hAnsi="宋体"/>
          <w:b/>
          <w:bCs/>
          <w:color w:val="000000"/>
          <w:sz w:val="24"/>
          <w:highlight w:val="none"/>
        </w:rPr>
      </w:pPr>
    </w:p>
    <w:p w14:paraId="516D708A">
      <w:pPr>
        <w:spacing w:line="560" w:lineRule="exact"/>
        <w:ind w:firstLine="472" w:firstLineChars="196"/>
        <w:rPr>
          <w:rFonts w:ascii="宋体" w:hAnsi="宋体"/>
          <w:b/>
          <w:bCs/>
          <w:color w:val="000000"/>
          <w:sz w:val="24"/>
          <w:highlight w:val="none"/>
        </w:rPr>
      </w:pPr>
    </w:p>
    <w:p w14:paraId="5AC3D0FD">
      <w:pPr>
        <w:spacing w:line="560" w:lineRule="exact"/>
        <w:ind w:firstLine="472" w:firstLineChars="196"/>
        <w:rPr>
          <w:rFonts w:ascii="宋体" w:hAnsi="宋体"/>
          <w:b/>
          <w:bCs/>
          <w:color w:val="000000"/>
          <w:sz w:val="24"/>
          <w:highlight w:val="none"/>
        </w:rPr>
      </w:pPr>
    </w:p>
    <w:p w14:paraId="14D4EC89">
      <w:pPr>
        <w:spacing w:line="560" w:lineRule="exact"/>
        <w:ind w:firstLine="472" w:firstLineChars="196"/>
        <w:rPr>
          <w:rFonts w:ascii="宋体" w:hAnsi="宋体"/>
          <w:b/>
          <w:bCs/>
          <w:color w:val="000000"/>
          <w:sz w:val="24"/>
          <w:highlight w:val="none"/>
        </w:rPr>
      </w:pPr>
    </w:p>
    <w:p w14:paraId="14E246B9">
      <w:pPr>
        <w:spacing w:line="560" w:lineRule="exact"/>
        <w:ind w:firstLine="472" w:firstLineChars="196"/>
        <w:rPr>
          <w:rFonts w:ascii="宋体" w:hAnsi="宋体"/>
          <w:b/>
          <w:bCs/>
          <w:color w:val="000000"/>
          <w:sz w:val="24"/>
          <w:highlight w:val="none"/>
        </w:rPr>
      </w:pPr>
    </w:p>
    <w:p w14:paraId="2BD5FE83">
      <w:pPr>
        <w:spacing w:line="560" w:lineRule="exact"/>
        <w:ind w:firstLine="433" w:firstLineChars="196"/>
        <w:rPr>
          <w:rFonts w:ascii="宋体" w:hAnsi="宋体"/>
          <w:b/>
          <w:bCs/>
          <w:color w:val="000000"/>
          <w:sz w:val="24"/>
          <w:highlight w:val="none"/>
        </w:rPr>
      </w:pPr>
      <w:r>
        <w:rPr>
          <w:rFonts w:hint="eastAsia" w:ascii="宋体" w:hAnsi="宋体"/>
          <w:b/>
          <w:bCs/>
          <w:color w:val="000000"/>
          <w:sz w:val="22"/>
          <w:szCs w:val="22"/>
          <w:highlight w:val="none"/>
        </w:rPr>
        <w:t>注：</w:t>
      </w:r>
      <w:r>
        <w:rPr>
          <w:rFonts w:hint="eastAsia" w:ascii="宋体" w:hAnsi="宋体" w:cs="Arial"/>
          <w:b/>
          <w:bCs/>
          <w:color w:val="000000"/>
          <w:sz w:val="22"/>
          <w:szCs w:val="22"/>
          <w:highlight w:val="none"/>
        </w:rPr>
        <w:t>招标文件中部分加“</w:t>
      </w:r>
      <w:r>
        <w:rPr>
          <w:rFonts w:hint="eastAsia" w:hAnsi="宋体"/>
          <w:color w:val="000000"/>
          <w:sz w:val="22"/>
          <w:szCs w:val="22"/>
          <w:highlight w:val="none"/>
        </w:rPr>
        <w:t>★</w:t>
      </w:r>
      <w:r>
        <w:rPr>
          <w:rFonts w:hint="eastAsia" w:ascii="宋体" w:hAnsi="宋体" w:cs="Arial"/>
          <w:b/>
          <w:bCs/>
          <w:color w:val="000000"/>
          <w:sz w:val="22"/>
          <w:szCs w:val="22"/>
          <w:highlight w:val="none"/>
        </w:rPr>
        <w:t>”的条款，为招标的实质性要求和条件，着</w:t>
      </w:r>
      <w:r>
        <w:rPr>
          <w:rFonts w:hint="eastAsia" w:ascii="宋体" w:hAnsi="宋体"/>
          <w:b/>
          <w:bCs/>
          <w:color w:val="000000"/>
          <w:sz w:val="22"/>
          <w:szCs w:val="22"/>
          <w:highlight w:val="none"/>
        </w:rPr>
        <w:t>重提醒各投标人注意，并认真查看招标文件中的每一个条款及要求，因误读招标文件而造成的后果，招标人概不负责。</w:t>
      </w:r>
    </w:p>
    <w:p w14:paraId="61808057">
      <w:pPr>
        <w:rPr>
          <w:highlight w:val="none"/>
        </w:rPr>
      </w:pPr>
    </w:p>
    <w:p w14:paraId="2480A464">
      <w:pPr>
        <w:pStyle w:val="22"/>
        <w:rPr>
          <w:highlight w:val="none"/>
        </w:rPr>
        <w:sectPr>
          <w:footerReference r:id="rId5" w:type="default"/>
          <w:pgSz w:w="11907" w:h="16840"/>
          <w:pgMar w:top="1134" w:right="1134" w:bottom="1134" w:left="1134" w:header="964" w:footer="851" w:gutter="0"/>
          <w:pgNumType w:start="1"/>
          <w:cols w:space="720" w:num="1"/>
          <w:docGrid w:type="lines" w:linePitch="312" w:charSpace="0"/>
        </w:sectPr>
      </w:pPr>
      <w:bookmarkStart w:id="1" w:name="_Toc26577"/>
      <w:bookmarkStart w:id="2" w:name="_Toc50128367"/>
    </w:p>
    <w:p w14:paraId="0A0B0448">
      <w:pPr>
        <w:pStyle w:val="22"/>
        <w:rPr>
          <w:highlight w:val="none"/>
        </w:rPr>
      </w:pPr>
      <w:r>
        <w:rPr>
          <w:rFonts w:hint="eastAsia"/>
          <w:highlight w:val="none"/>
        </w:rPr>
        <w:t>第一章  招标公告</w:t>
      </w:r>
      <w:bookmarkEnd w:id="0"/>
      <w:bookmarkEnd w:id="1"/>
      <w:bookmarkEnd w:id="2"/>
    </w:p>
    <w:p w14:paraId="5ABF7032">
      <w:pPr>
        <w:snapToGrid w:val="0"/>
        <w:spacing w:line="440" w:lineRule="exact"/>
        <w:ind w:firstLine="440" w:firstLineChars="200"/>
        <w:jc w:val="left"/>
        <w:rPr>
          <w:rFonts w:ascii="宋体" w:hAnsi="宋体" w:cs="宋体"/>
          <w:sz w:val="22"/>
          <w:szCs w:val="22"/>
          <w:highlight w:val="none"/>
          <w:lang w:val="zh-CN"/>
        </w:rPr>
      </w:pPr>
      <w:r>
        <w:rPr>
          <w:rFonts w:hint="eastAsia" w:ascii="宋体" w:hAnsi="宋体" w:cs="宋体"/>
          <w:sz w:val="22"/>
          <w:szCs w:val="22"/>
          <w:highlight w:val="none"/>
        </w:rPr>
        <w:t>华信咨询设计研究院有限公司受</w:t>
      </w:r>
      <w:r>
        <w:rPr>
          <w:rFonts w:hint="eastAsia" w:ascii="宋体" w:hAnsi="宋体" w:cs="宋体"/>
          <w:sz w:val="22"/>
          <w:szCs w:val="22"/>
          <w:highlight w:val="none"/>
          <w:lang w:val="zh-CN"/>
        </w:rPr>
        <w:t>温州港乐清湾港务有限公司</w:t>
      </w:r>
      <w:r>
        <w:rPr>
          <w:rFonts w:hint="eastAsia" w:ascii="宋体" w:hAnsi="宋体" w:cs="宋体"/>
          <w:sz w:val="22"/>
          <w:szCs w:val="22"/>
          <w:highlight w:val="none"/>
        </w:rPr>
        <w:t>的委托</w:t>
      </w:r>
      <w:r>
        <w:rPr>
          <w:rFonts w:hint="eastAsia" w:ascii="宋体" w:hAnsi="宋体" w:cs="宋体"/>
          <w:sz w:val="22"/>
          <w:szCs w:val="22"/>
          <w:highlight w:val="none"/>
          <w:lang w:val="zh-CN"/>
        </w:rPr>
        <w:t>，</w:t>
      </w:r>
      <w:r>
        <w:rPr>
          <w:rFonts w:hint="eastAsia" w:ascii="宋体" w:hAnsi="宋体" w:cs="宋体"/>
          <w:sz w:val="22"/>
          <w:szCs w:val="22"/>
          <w:highlight w:val="none"/>
        </w:rPr>
        <w:t>就</w:t>
      </w:r>
      <w:r>
        <w:rPr>
          <w:rFonts w:hint="eastAsia" w:ascii="宋体" w:hAnsi="宋体" w:cs="宋体"/>
          <w:sz w:val="22"/>
          <w:szCs w:val="22"/>
          <w:highlight w:val="none"/>
          <w:lang w:val="zh-CN"/>
        </w:rPr>
        <w:t>温州港乐清湾港区A区一期集装箱能力提升工程环境影响评价项目进行公开招标，欢迎国内合格的投标人前来投标。</w:t>
      </w:r>
    </w:p>
    <w:p w14:paraId="51F289BD">
      <w:pPr>
        <w:snapToGrid w:val="0"/>
        <w:spacing w:line="440" w:lineRule="exact"/>
        <w:ind w:firstLine="440" w:firstLineChars="200"/>
        <w:jc w:val="left"/>
        <w:outlineLvl w:val="2"/>
        <w:rPr>
          <w:rFonts w:ascii="宋体" w:hAnsi="宋体" w:cs="宋体"/>
          <w:kern w:val="0"/>
          <w:sz w:val="22"/>
          <w:szCs w:val="22"/>
          <w:highlight w:val="none"/>
          <w:lang w:val="zh-CN"/>
        </w:rPr>
      </w:pPr>
      <w:bookmarkStart w:id="3" w:name="_Toc17255"/>
      <w:r>
        <w:rPr>
          <w:rFonts w:hint="eastAsia" w:ascii="宋体" w:hAnsi="宋体" w:cs="宋体"/>
          <w:sz w:val="22"/>
          <w:szCs w:val="22"/>
          <w:highlight w:val="none"/>
        </w:rPr>
        <w:t>一、</w:t>
      </w:r>
      <w:r>
        <w:rPr>
          <w:rFonts w:hint="eastAsia" w:ascii="宋体" w:hAnsi="宋体" w:cs="宋体"/>
          <w:bCs/>
          <w:sz w:val="22"/>
          <w:szCs w:val="22"/>
          <w:highlight w:val="none"/>
        </w:rPr>
        <w:t>项目编号：</w:t>
      </w:r>
      <w:bookmarkEnd w:id="3"/>
      <w:r>
        <w:rPr>
          <w:rFonts w:hint="eastAsia" w:ascii="宋体" w:hAnsi="宋体" w:cs="宋体"/>
          <w:bCs/>
          <w:sz w:val="22"/>
          <w:szCs w:val="22"/>
          <w:highlight w:val="none"/>
        </w:rPr>
        <w:t>YQWGCJS2026074</w:t>
      </w:r>
    </w:p>
    <w:p w14:paraId="40824787">
      <w:pPr>
        <w:snapToGrid w:val="0"/>
        <w:spacing w:line="440" w:lineRule="exact"/>
        <w:ind w:firstLine="440" w:firstLineChars="200"/>
        <w:jc w:val="left"/>
        <w:outlineLvl w:val="2"/>
        <w:rPr>
          <w:rFonts w:ascii="宋体" w:hAnsi="宋体" w:cs="宋体"/>
          <w:sz w:val="22"/>
          <w:szCs w:val="22"/>
          <w:highlight w:val="none"/>
        </w:rPr>
      </w:pPr>
      <w:bookmarkStart w:id="4" w:name="_Toc13425"/>
      <w:r>
        <w:rPr>
          <w:rFonts w:hint="eastAsia" w:ascii="宋体" w:hAnsi="宋体" w:cs="宋体"/>
          <w:bCs/>
          <w:sz w:val="22"/>
          <w:szCs w:val="22"/>
          <w:highlight w:val="none"/>
        </w:rPr>
        <w:t>二、招标</w:t>
      </w:r>
      <w:r>
        <w:rPr>
          <w:rFonts w:hint="eastAsia" w:ascii="宋体" w:hAnsi="宋体" w:cs="宋体"/>
          <w:sz w:val="22"/>
          <w:szCs w:val="22"/>
          <w:highlight w:val="none"/>
        </w:rPr>
        <w:t>方式：公开招标</w:t>
      </w:r>
      <w:bookmarkEnd w:id="4"/>
    </w:p>
    <w:p w14:paraId="493138E5">
      <w:pPr>
        <w:snapToGrid w:val="0"/>
        <w:spacing w:line="440" w:lineRule="exact"/>
        <w:ind w:firstLine="440" w:firstLineChars="200"/>
        <w:jc w:val="left"/>
        <w:outlineLvl w:val="2"/>
        <w:rPr>
          <w:rFonts w:ascii="宋体" w:hAnsi="宋体" w:cs="宋体"/>
          <w:kern w:val="0"/>
          <w:sz w:val="22"/>
          <w:szCs w:val="22"/>
          <w:highlight w:val="none"/>
          <w:lang w:val="zh-CN"/>
        </w:rPr>
      </w:pPr>
      <w:bookmarkStart w:id="5" w:name="_Toc16225"/>
      <w:r>
        <w:rPr>
          <w:rFonts w:hint="eastAsia" w:ascii="宋体" w:hAnsi="宋体" w:cs="宋体"/>
          <w:sz w:val="22"/>
          <w:szCs w:val="22"/>
          <w:highlight w:val="none"/>
        </w:rPr>
        <w:t>三、项目</w:t>
      </w:r>
      <w:r>
        <w:rPr>
          <w:rFonts w:hint="eastAsia" w:ascii="宋体" w:hAnsi="宋体" w:cs="宋体"/>
          <w:kern w:val="0"/>
          <w:sz w:val="22"/>
          <w:szCs w:val="22"/>
          <w:highlight w:val="none"/>
          <w:lang w:val="zh-CN"/>
        </w:rPr>
        <w:t>名称：</w:t>
      </w:r>
      <w:bookmarkEnd w:id="5"/>
      <w:bookmarkStart w:id="106" w:name="_GoBack"/>
      <w:r>
        <w:rPr>
          <w:rFonts w:hint="eastAsia" w:ascii="宋体" w:hAnsi="宋体" w:cs="宋体"/>
          <w:kern w:val="0"/>
          <w:sz w:val="22"/>
          <w:szCs w:val="22"/>
          <w:highlight w:val="none"/>
          <w:lang w:val="zh-CN"/>
        </w:rPr>
        <w:t>温州港乐清湾港区A区一期集装箱能力提升工程环境影响评价</w:t>
      </w:r>
      <w:bookmarkEnd w:id="106"/>
    </w:p>
    <w:p w14:paraId="150C8266">
      <w:pPr>
        <w:snapToGrid w:val="0"/>
        <w:spacing w:line="440" w:lineRule="exact"/>
        <w:ind w:firstLine="440" w:firstLineChars="200"/>
        <w:jc w:val="left"/>
        <w:outlineLvl w:val="2"/>
        <w:rPr>
          <w:rFonts w:ascii="宋体" w:hAnsi="宋体" w:cs="宋体"/>
          <w:b/>
          <w:bCs/>
          <w:color w:val="auto"/>
          <w:sz w:val="22"/>
          <w:szCs w:val="22"/>
          <w:highlight w:val="none"/>
        </w:rPr>
      </w:pPr>
      <w:bookmarkStart w:id="6" w:name="_Toc2075"/>
      <w:r>
        <w:rPr>
          <w:rFonts w:hint="eastAsia" w:ascii="宋体" w:hAnsi="宋体" w:cs="宋体"/>
          <w:color w:val="auto"/>
          <w:sz w:val="22"/>
          <w:szCs w:val="22"/>
          <w:highlight w:val="none"/>
        </w:rPr>
        <w:t>★四、最高限价：55万元（人民币）。</w:t>
      </w:r>
      <w:bookmarkEnd w:id="6"/>
    </w:p>
    <w:p w14:paraId="1FDB97AF">
      <w:pPr>
        <w:snapToGrid w:val="0"/>
        <w:spacing w:line="440" w:lineRule="exact"/>
        <w:ind w:firstLine="440" w:firstLineChars="200"/>
        <w:jc w:val="left"/>
        <w:outlineLvl w:val="2"/>
        <w:rPr>
          <w:rFonts w:ascii="宋体" w:hAnsi="宋体" w:cs="宋体"/>
          <w:bCs/>
          <w:color w:val="auto"/>
          <w:sz w:val="22"/>
          <w:szCs w:val="22"/>
          <w:highlight w:val="none"/>
        </w:rPr>
      </w:pPr>
      <w:bookmarkStart w:id="7" w:name="_Toc9795"/>
      <w:r>
        <w:rPr>
          <w:rFonts w:hint="eastAsia" w:ascii="宋体" w:hAnsi="宋体" w:cs="宋体"/>
          <w:color w:val="auto"/>
          <w:sz w:val="22"/>
          <w:szCs w:val="22"/>
          <w:highlight w:val="none"/>
        </w:rPr>
        <w:t>五、</w:t>
      </w:r>
      <w:r>
        <w:rPr>
          <w:rFonts w:hint="eastAsia" w:ascii="宋体" w:hAnsi="宋体" w:cs="宋体"/>
          <w:bCs/>
          <w:color w:val="auto"/>
          <w:sz w:val="22"/>
          <w:szCs w:val="22"/>
          <w:highlight w:val="none"/>
        </w:rPr>
        <w:t>项目概况、服务期限：</w:t>
      </w:r>
      <w:bookmarkEnd w:id="7"/>
    </w:p>
    <w:p w14:paraId="20269B63">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1.项目概况：本项目为</w:t>
      </w:r>
      <w:r>
        <w:rPr>
          <w:rFonts w:hint="eastAsia" w:ascii="宋体" w:hAnsi="宋体" w:cs="宋体"/>
          <w:color w:val="auto"/>
          <w:sz w:val="22"/>
          <w:szCs w:val="22"/>
          <w:highlight w:val="none"/>
          <w:lang w:eastAsia="zh-CN"/>
        </w:rPr>
        <w:t>温州港乐清湾港区A区一期集装箱能力提升工程环境影响评价</w:t>
      </w:r>
      <w:r>
        <w:rPr>
          <w:rFonts w:hint="eastAsia" w:ascii="宋体" w:hAnsi="宋体" w:cs="宋体"/>
          <w:color w:val="auto"/>
          <w:sz w:val="22"/>
          <w:szCs w:val="22"/>
          <w:highlight w:val="none"/>
        </w:rPr>
        <w:t>项目，主要服务内容包括但不限于</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（1）严格依据国家和地方相关的技术规范等，开展</w:t>
      </w:r>
      <w:r>
        <w:rPr>
          <w:rFonts w:hint="eastAsia" w:ascii="宋体" w:hAnsi="宋体" w:cs="宋体"/>
          <w:color w:val="auto"/>
          <w:sz w:val="22"/>
          <w:szCs w:val="22"/>
          <w:highlight w:val="none"/>
          <w:lang w:eastAsia="zh-CN"/>
        </w:rPr>
        <w:t>温州港乐清湾港区A区一期集装箱能力提升工程环境影响评价</w:t>
      </w:r>
      <w:r>
        <w:rPr>
          <w:rFonts w:hint="eastAsia" w:ascii="宋体" w:hAnsi="宋体" w:cs="宋体"/>
          <w:color w:val="auto"/>
          <w:sz w:val="22"/>
          <w:szCs w:val="22"/>
          <w:highlight w:val="none"/>
          <w:lang w:val="en-US" w:eastAsia="zh-CN"/>
        </w:rPr>
        <w:t>工作</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含</w:t>
      </w:r>
      <w:r>
        <w:rPr>
          <w:rFonts w:hint="eastAsia" w:ascii="宋体" w:hAnsi="宋体" w:cs="宋体"/>
          <w:color w:val="auto"/>
          <w:sz w:val="22"/>
          <w:szCs w:val="22"/>
          <w:highlight w:val="none"/>
        </w:rPr>
        <w:t>环境现状资料调查或收集、海洋调查（现状监测）、环境影响报告书编制、数值模拟预测专题、陆域环境监测；（2）编制的环境影响报告书通过专家审查，协助招标人取得</w:t>
      </w:r>
      <w:r>
        <w:rPr>
          <w:rFonts w:hint="eastAsia" w:ascii="宋体" w:hAnsi="宋体" w:cs="宋体"/>
          <w:color w:val="auto"/>
          <w:sz w:val="22"/>
          <w:szCs w:val="22"/>
          <w:highlight w:val="none"/>
          <w:lang w:val="en-US" w:eastAsia="zh-CN"/>
        </w:rPr>
        <w:t>生态环境主管部门出具的</w:t>
      </w:r>
      <w:r>
        <w:rPr>
          <w:rFonts w:hint="eastAsia" w:ascii="宋体" w:hAnsi="宋体" w:cs="宋体"/>
          <w:color w:val="auto"/>
          <w:sz w:val="22"/>
          <w:szCs w:val="22"/>
          <w:highlight w:val="none"/>
        </w:rPr>
        <w:t>环境影响审批意见。具体</w:t>
      </w:r>
      <w:r>
        <w:rPr>
          <w:rFonts w:hint="eastAsia" w:ascii="宋体" w:hAnsi="宋体" w:cs="宋体"/>
          <w:color w:val="auto"/>
          <w:sz w:val="22"/>
          <w:szCs w:val="22"/>
          <w:highlight w:val="none"/>
          <w:lang w:val="en-US" w:eastAsia="zh-CN"/>
        </w:rPr>
        <w:t>服务内容及要求</w:t>
      </w:r>
      <w:r>
        <w:rPr>
          <w:rFonts w:hint="eastAsia" w:ascii="宋体" w:hAnsi="宋体" w:cs="宋体"/>
          <w:color w:val="auto"/>
          <w:sz w:val="22"/>
          <w:szCs w:val="22"/>
          <w:highlight w:val="none"/>
        </w:rPr>
        <w:t>详见招标文件第二章</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招标需求</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w:t>
      </w:r>
    </w:p>
    <w:p w14:paraId="5CE28EE6">
      <w:pPr>
        <w:adjustRightIn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2.服务期限：合同签订后</w:t>
      </w:r>
      <w:r>
        <w:rPr>
          <w:rFonts w:ascii="宋体" w:hAnsi="宋体" w:cs="宋体"/>
          <w:color w:val="auto"/>
          <w:sz w:val="22"/>
          <w:szCs w:val="22"/>
          <w:highlight w:val="none"/>
        </w:rPr>
        <w:t>60天内</w:t>
      </w:r>
      <w:r>
        <w:rPr>
          <w:rFonts w:hint="eastAsia" w:ascii="宋体" w:hAnsi="宋体" w:cs="宋体"/>
          <w:color w:val="auto"/>
          <w:sz w:val="22"/>
          <w:szCs w:val="22"/>
          <w:highlight w:val="none"/>
        </w:rPr>
        <w:t>提交环境影响报告书送审稿，</w:t>
      </w:r>
      <w:r>
        <w:rPr>
          <w:rFonts w:hint="eastAsia" w:ascii="宋体" w:hAnsi="宋体" w:cs="宋体"/>
          <w:color w:val="auto"/>
          <w:sz w:val="22"/>
          <w:szCs w:val="22"/>
          <w:highlight w:val="none"/>
          <w:lang w:val="en-US" w:eastAsia="zh-CN"/>
        </w:rPr>
        <w:t>送审稿</w:t>
      </w:r>
      <w:r>
        <w:rPr>
          <w:rFonts w:hint="eastAsia" w:ascii="宋体" w:hAnsi="宋体" w:cs="宋体"/>
          <w:color w:val="auto"/>
          <w:sz w:val="22"/>
          <w:szCs w:val="22"/>
          <w:highlight w:val="none"/>
        </w:rPr>
        <w:t>经过专家评审</w:t>
      </w:r>
      <w:r>
        <w:rPr>
          <w:rFonts w:hint="eastAsia" w:ascii="宋体" w:hAnsi="宋体" w:cs="宋体"/>
          <w:color w:val="auto"/>
          <w:sz w:val="22"/>
          <w:szCs w:val="22"/>
          <w:highlight w:val="none"/>
          <w:lang w:val="en-US" w:eastAsia="zh-CN"/>
        </w:rPr>
        <w:t>及</w:t>
      </w:r>
      <w:r>
        <w:rPr>
          <w:rFonts w:hint="eastAsia" w:ascii="宋体" w:hAnsi="宋体" w:cs="宋体"/>
          <w:color w:val="auto"/>
          <w:sz w:val="22"/>
          <w:szCs w:val="22"/>
          <w:highlight w:val="none"/>
        </w:rPr>
        <w:t>公示结束后7天内提交报批稿</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并协助招标人完成相关报批工作。报批稿</w:t>
      </w:r>
      <w:r>
        <w:rPr>
          <w:rFonts w:hint="eastAsia" w:ascii="宋体" w:hAnsi="宋体" w:cs="宋体"/>
          <w:color w:val="auto"/>
          <w:sz w:val="22"/>
          <w:szCs w:val="22"/>
          <w:highlight w:val="none"/>
          <w:lang w:val="en-US" w:eastAsia="zh-CN"/>
        </w:rPr>
        <w:t>经</w:t>
      </w:r>
      <w:r>
        <w:rPr>
          <w:rFonts w:hint="eastAsia" w:ascii="宋体" w:hAnsi="宋体" w:cs="宋体"/>
          <w:color w:val="auto"/>
          <w:sz w:val="22"/>
          <w:szCs w:val="22"/>
          <w:highlight w:val="none"/>
        </w:rPr>
        <w:t>主管部门审批</w:t>
      </w:r>
      <w:r>
        <w:rPr>
          <w:rFonts w:hint="eastAsia" w:ascii="宋体" w:hAnsi="宋体" w:cs="宋体"/>
          <w:color w:val="auto"/>
          <w:sz w:val="22"/>
          <w:szCs w:val="22"/>
          <w:highlight w:val="none"/>
          <w:lang w:val="en-US" w:eastAsia="zh-CN"/>
        </w:rPr>
        <w:t>同意后</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中标人</w:t>
      </w:r>
      <w:r>
        <w:rPr>
          <w:rFonts w:hint="eastAsia" w:ascii="宋体" w:hAnsi="宋体" w:cs="宋体"/>
          <w:color w:val="auto"/>
          <w:sz w:val="22"/>
          <w:szCs w:val="22"/>
          <w:highlight w:val="none"/>
        </w:rPr>
        <w:t>免费提供后续技术服务支持直至工程</w:t>
      </w:r>
      <w:r>
        <w:rPr>
          <w:rFonts w:hint="eastAsia" w:ascii="宋体" w:hAnsi="宋体" w:cs="宋体"/>
          <w:color w:val="auto"/>
          <w:sz w:val="22"/>
          <w:szCs w:val="22"/>
          <w:highlight w:val="none"/>
          <w:lang w:val="en-US" w:eastAsia="zh-CN"/>
        </w:rPr>
        <w:t>竣工</w:t>
      </w:r>
      <w:r>
        <w:rPr>
          <w:rFonts w:hint="eastAsia" w:ascii="宋体" w:hAnsi="宋体" w:cs="宋体"/>
          <w:color w:val="auto"/>
          <w:sz w:val="22"/>
          <w:szCs w:val="22"/>
          <w:highlight w:val="none"/>
        </w:rPr>
        <w:t>，具体</w:t>
      </w:r>
      <w:r>
        <w:rPr>
          <w:rFonts w:hint="eastAsia" w:ascii="宋体" w:hAnsi="宋体" w:cs="宋体"/>
          <w:color w:val="auto"/>
          <w:sz w:val="22"/>
          <w:szCs w:val="22"/>
          <w:highlight w:val="none"/>
          <w:lang w:val="en-US" w:eastAsia="zh-CN"/>
        </w:rPr>
        <w:t>服务</w:t>
      </w:r>
      <w:r>
        <w:rPr>
          <w:rFonts w:hint="eastAsia" w:ascii="宋体" w:hAnsi="宋体" w:cs="宋体"/>
          <w:color w:val="auto"/>
          <w:sz w:val="22"/>
          <w:szCs w:val="22"/>
          <w:highlight w:val="none"/>
        </w:rPr>
        <w:t>时间根据招标人实际工作</w:t>
      </w:r>
      <w:r>
        <w:rPr>
          <w:rFonts w:hint="eastAsia" w:ascii="宋体" w:hAnsi="宋体" w:cs="宋体"/>
          <w:color w:val="auto"/>
          <w:sz w:val="22"/>
          <w:szCs w:val="22"/>
          <w:highlight w:val="none"/>
          <w:lang w:val="en-US" w:eastAsia="zh-CN"/>
        </w:rPr>
        <w:t>安排</w:t>
      </w:r>
      <w:r>
        <w:rPr>
          <w:rFonts w:hint="eastAsia" w:ascii="宋体" w:hAnsi="宋体" w:cs="宋体"/>
          <w:color w:val="auto"/>
          <w:sz w:val="22"/>
          <w:szCs w:val="22"/>
          <w:highlight w:val="none"/>
        </w:rPr>
        <w:t>确定。</w:t>
      </w:r>
    </w:p>
    <w:p w14:paraId="2C579E9A">
      <w:pPr>
        <w:spacing w:line="440" w:lineRule="exact"/>
        <w:ind w:firstLine="440" w:firstLineChars="200"/>
        <w:jc w:val="left"/>
        <w:outlineLvl w:val="2"/>
        <w:rPr>
          <w:rFonts w:ascii="宋体" w:hAnsi="宋体" w:cs="宋体"/>
          <w:color w:val="auto"/>
          <w:sz w:val="22"/>
          <w:szCs w:val="22"/>
          <w:highlight w:val="none"/>
        </w:rPr>
      </w:pPr>
      <w:bookmarkStart w:id="8" w:name="_Toc1015"/>
      <w:r>
        <w:rPr>
          <w:rFonts w:hint="eastAsia" w:ascii="宋体" w:hAnsi="宋体" w:cs="宋体"/>
          <w:color w:val="auto"/>
          <w:sz w:val="22"/>
          <w:szCs w:val="22"/>
          <w:highlight w:val="none"/>
        </w:rPr>
        <w:t>★</w:t>
      </w:r>
      <w:r>
        <w:rPr>
          <w:rFonts w:hint="eastAsia" w:ascii="宋体" w:hAnsi="宋体" w:cs="宋体"/>
          <w:b/>
          <w:bCs/>
          <w:color w:val="auto"/>
          <w:sz w:val="22"/>
          <w:szCs w:val="22"/>
          <w:highlight w:val="none"/>
        </w:rPr>
        <w:t>六、合格投标人的资格要求</w:t>
      </w:r>
      <w:r>
        <w:rPr>
          <w:rFonts w:hint="eastAsia" w:ascii="宋体" w:hAnsi="宋体" w:cs="宋体"/>
          <w:b/>
          <w:color w:val="auto"/>
          <w:sz w:val="22"/>
          <w:szCs w:val="22"/>
          <w:highlight w:val="none"/>
        </w:rPr>
        <w:t>：</w:t>
      </w:r>
      <w:bookmarkEnd w:id="8"/>
    </w:p>
    <w:p w14:paraId="03C68DBA">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（一）投标人的一般条件：</w:t>
      </w:r>
    </w:p>
    <w:p w14:paraId="504130DC">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1.具有独立承担民事责任的能力；</w:t>
      </w:r>
    </w:p>
    <w:p w14:paraId="0ED8DFED">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2.具有履行合同所必需的能力；</w:t>
      </w:r>
    </w:p>
    <w:p w14:paraId="1959D114">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3.具有良好的信誉和健全的财务会计制度；</w:t>
      </w:r>
    </w:p>
    <w:p w14:paraId="0F42B703">
      <w:pPr>
        <w:wordWrap w:val="0"/>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4.投标人未被列入失信被执行人名单、重大税收违法案件当事人名单、政府采购严重违法失信行为记录名单，信用信息以信用中国网站（www.creditchina.gov.cn）、中国政府采购网（www.ccgp.gov.cn）公布为准。</w:t>
      </w:r>
    </w:p>
    <w:p w14:paraId="4CB86773">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5.单位负责人为同一人或者存在控股、管理关系的不同单位，不得参加同一标段投标，否则均按否决投标处理。</w:t>
      </w:r>
    </w:p>
    <w:p w14:paraId="3E7D587D">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（二）投标人的特定条件：</w:t>
      </w:r>
    </w:p>
    <w:p w14:paraId="5E809376">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1.投标人须在中华人民共和国生态环境部“环境影响评价信用平台”登记，且投标截止日前，在平台中未被列为“限期整改名单”或“黑名单”</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（须提供平台查询截图并加盖公章）</w:t>
      </w:r>
    </w:p>
    <w:p w14:paraId="440AF2EE">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本项目不允许联合体投标和分包转包，本次招标采用资格后审。</w:t>
      </w:r>
    </w:p>
    <w:p w14:paraId="68458F7F">
      <w:pPr>
        <w:snapToGrid w:val="0"/>
        <w:spacing w:line="440" w:lineRule="exact"/>
        <w:ind w:firstLine="442" w:firstLineChars="200"/>
        <w:jc w:val="left"/>
        <w:outlineLvl w:val="2"/>
        <w:rPr>
          <w:rFonts w:ascii="宋体" w:hAnsi="宋体" w:cs="宋体"/>
          <w:b/>
          <w:color w:val="auto"/>
          <w:sz w:val="22"/>
          <w:szCs w:val="22"/>
          <w:highlight w:val="none"/>
        </w:rPr>
      </w:pPr>
      <w:bookmarkStart w:id="9" w:name="_Toc7877"/>
      <w:bookmarkStart w:id="10" w:name="_Toc50128368"/>
      <w:r>
        <w:rPr>
          <w:rFonts w:hint="eastAsia" w:ascii="宋体" w:hAnsi="宋体" w:cs="宋体"/>
          <w:b/>
          <w:color w:val="auto"/>
          <w:sz w:val="22"/>
          <w:szCs w:val="22"/>
          <w:highlight w:val="none"/>
        </w:rPr>
        <w:t>七、招标文件的获取</w:t>
      </w:r>
      <w:bookmarkEnd w:id="9"/>
      <w:r>
        <w:rPr>
          <w:rFonts w:hint="eastAsia" w:ascii="宋体" w:hAnsi="宋体" w:cs="宋体"/>
          <w:b/>
          <w:color w:val="auto"/>
          <w:sz w:val="22"/>
          <w:szCs w:val="22"/>
          <w:highlight w:val="none"/>
        </w:rPr>
        <w:t>：</w:t>
      </w:r>
    </w:p>
    <w:p w14:paraId="042D1F86">
      <w:pPr>
        <w:widowControl/>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kern w:val="0"/>
          <w:sz w:val="22"/>
          <w:szCs w:val="22"/>
          <w:highlight w:val="none"/>
        </w:rPr>
        <w:t>1.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清）、修改文件均通过“浙江海港投标管家”免费下载。</w:t>
      </w:r>
    </w:p>
    <w:p w14:paraId="758091E2">
      <w:pPr>
        <w:widowControl/>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kern w:val="0"/>
          <w:sz w:val="22"/>
          <w:szCs w:val="22"/>
          <w:highlight w:val="none"/>
        </w:rPr>
        <w:t>2.招标文件下载时间：2026年 月 日8:30至2026年 月 日17:00时。</w:t>
      </w:r>
    </w:p>
    <w:p w14:paraId="72002706">
      <w:pPr>
        <w:widowControl/>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3.未取得浙江省海港集团电子招标采购平台数字证书的投标人，投标前应先办理浙江省海港集团电子招标采购平台CA数字证书，具体办理指南及下载链接请至浙江省海港集团电子招标采购平台进行查看。</w:t>
      </w:r>
    </w:p>
    <w:p w14:paraId="72B687AA">
      <w:pPr>
        <w:snapToGrid w:val="0"/>
        <w:spacing w:line="440" w:lineRule="exact"/>
        <w:ind w:firstLine="442" w:firstLineChars="200"/>
        <w:jc w:val="left"/>
        <w:outlineLvl w:val="2"/>
        <w:rPr>
          <w:rFonts w:ascii="宋体" w:hAnsi="宋体" w:cs="宋体"/>
          <w:b/>
          <w:color w:val="auto"/>
          <w:sz w:val="22"/>
          <w:szCs w:val="22"/>
          <w:highlight w:val="none"/>
        </w:rPr>
      </w:pPr>
      <w:bookmarkStart w:id="11" w:name="_Toc23882"/>
      <w:r>
        <w:rPr>
          <w:rFonts w:hint="eastAsia" w:ascii="宋体" w:hAnsi="宋体" w:cs="宋体"/>
          <w:b/>
          <w:color w:val="auto"/>
          <w:sz w:val="22"/>
          <w:szCs w:val="22"/>
          <w:highlight w:val="none"/>
        </w:rPr>
        <w:t>八、投标保证金</w:t>
      </w:r>
      <w:bookmarkEnd w:id="11"/>
      <w:r>
        <w:rPr>
          <w:rFonts w:hint="eastAsia" w:ascii="宋体" w:hAnsi="宋体" w:cs="宋体"/>
          <w:b/>
          <w:color w:val="auto"/>
          <w:sz w:val="22"/>
          <w:szCs w:val="22"/>
          <w:highlight w:val="none"/>
        </w:rPr>
        <w:t>：</w:t>
      </w:r>
    </w:p>
    <w:p w14:paraId="7FDDB1FD">
      <w:pPr>
        <w:widowControl/>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kern w:val="0"/>
          <w:sz w:val="22"/>
          <w:szCs w:val="22"/>
          <w:highlight w:val="none"/>
        </w:rPr>
        <w:t>1.金额：</w:t>
      </w:r>
      <w:r>
        <w:rPr>
          <w:rFonts w:hint="eastAsia" w:ascii="宋体" w:hAnsi="宋体" w:cs="宋体"/>
          <w:b/>
          <w:bCs/>
          <w:color w:val="auto"/>
          <w:kern w:val="0"/>
          <w:sz w:val="22"/>
          <w:szCs w:val="22"/>
          <w:highlight w:val="none"/>
        </w:rPr>
        <w:t>人民币壹万壹仟元整（小写：¥11000.00）。</w:t>
      </w:r>
    </w:p>
    <w:p w14:paraId="59F51121">
      <w:pPr>
        <w:widowControl/>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2.投标人应于2026年 月 日12:00前通过浙江省海港集团电子招标采购平台汇入指定账户。</w:t>
      </w:r>
    </w:p>
    <w:p w14:paraId="1336F7B0">
      <w:pPr>
        <w:widowControl/>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3.投标保证金应通过</w:t>
      </w:r>
      <w:r>
        <w:rPr>
          <w:rFonts w:hint="eastAsia" w:ascii="宋体" w:hAnsi="宋体" w:cs="宋体"/>
          <w:b/>
          <w:bCs/>
          <w:color w:val="auto"/>
          <w:kern w:val="0"/>
          <w:sz w:val="22"/>
          <w:szCs w:val="22"/>
          <w:highlight w:val="none"/>
        </w:rPr>
        <w:t>投标单位银行基本账户</w:t>
      </w:r>
      <w:r>
        <w:rPr>
          <w:rFonts w:hint="eastAsia" w:ascii="宋体" w:hAnsi="宋体" w:cs="宋体"/>
          <w:color w:val="auto"/>
          <w:kern w:val="0"/>
          <w:sz w:val="22"/>
          <w:szCs w:val="22"/>
          <w:highlight w:val="none"/>
        </w:rPr>
        <w:t>汇入，否则视为投标保证金无效。</w:t>
      </w:r>
    </w:p>
    <w:p w14:paraId="6D576F83">
      <w:pPr>
        <w:snapToGrid w:val="0"/>
        <w:spacing w:line="440" w:lineRule="exact"/>
        <w:ind w:firstLine="442" w:firstLineChars="200"/>
        <w:jc w:val="left"/>
        <w:outlineLvl w:val="2"/>
        <w:rPr>
          <w:rFonts w:ascii="宋体" w:hAnsi="宋体" w:cs="宋体"/>
          <w:b/>
          <w:color w:val="auto"/>
          <w:sz w:val="22"/>
          <w:szCs w:val="22"/>
          <w:highlight w:val="none"/>
        </w:rPr>
      </w:pPr>
      <w:bookmarkStart w:id="12" w:name="_Toc13534"/>
      <w:r>
        <w:rPr>
          <w:rFonts w:hint="eastAsia" w:ascii="宋体" w:hAnsi="宋体" w:cs="宋体"/>
          <w:b/>
          <w:color w:val="auto"/>
          <w:sz w:val="22"/>
          <w:szCs w:val="22"/>
          <w:highlight w:val="none"/>
        </w:rPr>
        <w:t>九、投标截止时间和地点</w:t>
      </w:r>
      <w:bookmarkEnd w:id="12"/>
      <w:r>
        <w:rPr>
          <w:rFonts w:hint="eastAsia" w:ascii="宋体" w:hAnsi="宋体" w:cs="宋体"/>
          <w:b/>
          <w:color w:val="auto"/>
          <w:sz w:val="22"/>
          <w:szCs w:val="22"/>
          <w:highlight w:val="none"/>
        </w:rPr>
        <w:t>：</w:t>
      </w:r>
    </w:p>
    <w:p w14:paraId="612A4002">
      <w:pPr>
        <w:widowControl/>
        <w:snapToGrid w:val="0"/>
        <w:spacing w:line="440" w:lineRule="exact"/>
        <w:ind w:firstLine="442" w:firstLineChars="200"/>
        <w:jc w:val="left"/>
        <w:rPr>
          <w:rFonts w:ascii="宋体" w:hAnsi="宋体" w:cs="宋体"/>
          <w:color w:val="auto"/>
          <w:sz w:val="22"/>
          <w:szCs w:val="22"/>
          <w:highlight w:val="none"/>
        </w:rPr>
      </w:pPr>
      <w:r>
        <w:rPr>
          <w:rFonts w:hint="eastAsia" w:ascii="宋体" w:hAnsi="宋体" w:cs="宋体"/>
          <w:b/>
          <w:bCs/>
          <w:color w:val="auto"/>
          <w:kern w:val="0"/>
          <w:sz w:val="22"/>
          <w:szCs w:val="22"/>
          <w:highlight w:val="none"/>
        </w:rPr>
        <w:t>1.投标文件递交截止时间：</w:t>
      </w:r>
      <w:r>
        <w:rPr>
          <w:rFonts w:hint="eastAsia" w:ascii="宋体" w:hAnsi="宋体" w:cs="宋体"/>
          <w:b/>
          <w:color w:val="auto"/>
          <w:sz w:val="22"/>
          <w:szCs w:val="22"/>
          <w:highlight w:val="none"/>
        </w:rPr>
        <w:t>2026年 月 日09时00分</w:t>
      </w:r>
      <w:r>
        <w:rPr>
          <w:rFonts w:hint="eastAsia" w:ascii="宋体" w:hAnsi="宋体" w:cs="宋体"/>
          <w:b/>
          <w:bCs/>
          <w:color w:val="auto"/>
          <w:kern w:val="0"/>
          <w:sz w:val="22"/>
          <w:szCs w:val="22"/>
          <w:highlight w:val="none"/>
        </w:rPr>
        <w:t>。</w:t>
      </w:r>
    </w:p>
    <w:p w14:paraId="02C6688A">
      <w:pPr>
        <w:widowControl/>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2.投标文件递交方式：线上递交方式（投标管家工具）：投标人在投标文件递交时间截止前（投标截止时间2026年 月 日09时00分），将电子投标文件加密后递交至电子招标采购平台。</w:t>
      </w:r>
    </w:p>
    <w:p w14:paraId="2A49C5C9">
      <w:pPr>
        <w:snapToGrid w:val="0"/>
        <w:spacing w:line="440" w:lineRule="exact"/>
        <w:ind w:firstLine="442" w:firstLineChars="200"/>
        <w:jc w:val="left"/>
        <w:outlineLvl w:val="2"/>
        <w:rPr>
          <w:rFonts w:ascii="宋体" w:hAnsi="宋体" w:cs="宋体"/>
          <w:b/>
          <w:color w:val="auto"/>
          <w:sz w:val="22"/>
          <w:szCs w:val="22"/>
          <w:highlight w:val="none"/>
        </w:rPr>
      </w:pPr>
      <w:bookmarkStart w:id="13" w:name="_Toc29932"/>
      <w:r>
        <w:rPr>
          <w:rFonts w:hint="eastAsia" w:ascii="宋体" w:hAnsi="宋体" w:cs="宋体"/>
          <w:b/>
          <w:color w:val="auto"/>
          <w:sz w:val="22"/>
          <w:szCs w:val="22"/>
          <w:highlight w:val="none"/>
        </w:rPr>
        <w:t>十、开标时间地点及注意事项：</w:t>
      </w:r>
      <w:bookmarkEnd w:id="13"/>
    </w:p>
    <w:p w14:paraId="521E4473">
      <w:pPr>
        <w:widowControl/>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1.本次招标将于</w:t>
      </w:r>
      <w:r>
        <w:rPr>
          <w:rFonts w:hint="eastAsia" w:ascii="宋体" w:hAnsi="宋体" w:cs="宋体"/>
          <w:b/>
          <w:color w:val="auto"/>
          <w:kern w:val="0"/>
          <w:sz w:val="22"/>
          <w:szCs w:val="22"/>
          <w:highlight w:val="none"/>
        </w:rPr>
        <w:t>2026年 月 日09时00分</w:t>
      </w:r>
      <w:r>
        <w:rPr>
          <w:rFonts w:hint="eastAsia" w:ascii="宋体" w:hAnsi="宋体" w:cs="宋体"/>
          <w:color w:val="auto"/>
          <w:kern w:val="0"/>
          <w:sz w:val="22"/>
          <w:szCs w:val="22"/>
          <w:highlight w:val="none"/>
        </w:rPr>
        <w:t>在温州市鹿城区瓯江路海港大厦1幢2楼招标采购中心在线开标。</w:t>
      </w:r>
    </w:p>
    <w:p w14:paraId="62A87070">
      <w:pPr>
        <w:widowControl/>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2.投标人于投标截止时间之后三十分钟内在“浙江海港投标管家”工具端—进入项目—开标—远程开标模块，点击“确认开标结果”按钮进行确认，如超时未确认，视作投标人已对开标结果确认无误。</w:t>
      </w:r>
    </w:p>
    <w:p w14:paraId="3D336513">
      <w:pPr>
        <w:widowControl/>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3.本项目采用电子招标，中标人须在明确中标后、获取中标通知书前将相应的交易服务费缴入平台指定的集团账户（在“投标管家”工具中查看），具体收费标准详见招标文件或平台公告。</w:t>
      </w:r>
    </w:p>
    <w:p w14:paraId="3F284379">
      <w:pPr>
        <w:snapToGrid w:val="0"/>
        <w:spacing w:line="440" w:lineRule="exact"/>
        <w:ind w:firstLine="442" w:firstLineChars="200"/>
        <w:jc w:val="left"/>
        <w:outlineLvl w:val="2"/>
        <w:rPr>
          <w:rFonts w:ascii="宋体" w:hAnsi="宋体" w:cs="宋体"/>
          <w:b/>
          <w:color w:val="auto"/>
          <w:sz w:val="22"/>
          <w:szCs w:val="22"/>
          <w:highlight w:val="none"/>
        </w:rPr>
      </w:pPr>
      <w:bookmarkStart w:id="14" w:name="_Toc8149"/>
      <w:r>
        <w:rPr>
          <w:rFonts w:hint="eastAsia" w:ascii="宋体" w:hAnsi="宋体" w:cs="宋体"/>
          <w:b/>
          <w:color w:val="auto"/>
          <w:sz w:val="22"/>
          <w:szCs w:val="22"/>
          <w:highlight w:val="none"/>
        </w:rPr>
        <w:t>十一、发布媒介：</w:t>
      </w:r>
      <w:bookmarkEnd w:id="14"/>
    </w:p>
    <w:p w14:paraId="02E1C9A2">
      <w:pPr>
        <w:widowControl/>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本次招标公告在浙江海港电子招标采购平台（http://hgdzzb.nbport.com.cn/）、温州港集团有限公司网站（https://www.wzport.com/wzport/wzgzz/sy/index.html）等网站上发布。</w:t>
      </w:r>
    </w:p>
    <w:p w14:paraId="2213E569">
      <w:pPr>
        <w:spacing w:line="440" w:lineRule="exact"/>
        <w:ind w:firstLine="442" w:firstLineChars="200"/>
        <w:jc w:val="left"/>
        <w:outlineLvl w:val="2"/>
        <w:rPr>
          <w:rFonts w:ascii="宋体" w:hAnsi="宋体" w:cs="宋体"/>
          <w:b/>
          <w:bCs/>
          <w:color w:val="auto"/>
          <w:sz w:val="22"/>
          <w:szCs w:val="22"/>
          <w:highlight w:val="none"/>
        </w:rPr>
      </w:pPr>
      <w:bookmarkStart w:id="15" w:name="_Toc24460"/>
      <w:r>
        <w:rPr>
          <w:rFonts w:hint="eastAsia" w:ascii="宋体" w:hAnsi="宋体" w:cs="宋体"/>
          <w:b/>
          <w:bCs/>
          <w:color w:val="auto"/>
          <w:sz w:val="22"/>
          <w:szCs w:val="22"/>
          <w:highlight w:val="none"/>
        </w:rPr>
        <w:t>十二、联系方式：</w:t>
      </w:r>
      <w:bookmarkEnd w:id="15"/>
    </w:p>
    <w:p w14:paraId="0EFA9AB0">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1.招标人信息</w:t>
      </w:r>
    </w:p>
    <w:p w14:paraId="0912B0C6">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名  称：温州港乐清湾港务有限公司</w:t>
      </w:r>
    </w:p>
    <w:p w14:paraId="1117317A">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地  址：浙江省乐清市乐清湾港区虹蒲大道一号</w:t>
      </w:r>
    </w:p>
    <w:p w14:paraId="3CAFAFB0">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联系人：严工</w:t>
      </w:r>
    </w:p>
    <w:p w14:paraId="1B8379DB">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联系方式：18257708907</w:t>
      </w:r>
    </w:p>
    <w:p w14:paraId="62851619">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2.招标代理机构信息</w:t>
      </w:r>
    </w:p>
    <w:p w14:paraId="1A63533B">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名  称：华信咨询设计研究院有限公司</w:t>
      </w:r>
      <w:r>
        <w:rPr>
          <w:rFonts w:hint="eastAsia" w:ascii="宋体" w:hAnsi="宋体" w:cs="宋体"/>
          <w:color w:val="auto"/>
          <w:sz w:val="22"/>
          <w:szCs w:val="22"/>
          <w:highlight w:val="none"/>
        </w:rPr>
        <w:tab/>
      </w:r>
      <w:r>
        <w:rPr>
          <w:rFonts w:hint="eastAsia" w:ascii="宋体" w:hAnsi="宋体" w:cs="宋体"/>
          <w:color w:val="auto"/>
          <w:sz w:val="22"/>
          <w:szCs w:val="22"/>
          <w:highlight w:val="none"/>
        </w:rPr>
        <w:t xml:space="preserve"> </w:t>
      </w:r>
    </w:p>
    <w:p w14:paraId="206B07EC">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地  址：杭州市滨江区春波路999号</w:t>
      </w:r>
    </w:p>
    <w:p w14:paraId="36B61688">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联系人：羊奕杭、尚云飞、王鑫霖</w:t>
      </w:r>
    </w:p>
    <w:p w14:paraId="0F8DBAE8">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联系方式：15257143905、15225996022</w:t>
      </w:r>
    </w:p>
    <w:p w14:paraId="4727C508">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Cs w:val="21"/>
          <w:highlight w:val="none"/>
        </w:rPr>
        <w:t>投诉联系人（招标人）</w:t>
      </w:r>
      <w:r>
        <w:rPr>
          <w:rFonts w:hint="eastAsia" w:ascii="宋体" w:hAnsi="宋体" w:cs="宋体"/>
          <w:color w:val="auto"/>
          <w:sz w:val="22"/>
          <w:szCs w:val="22"/>
          <w:highlight w:val="none"/>
        </w:rPr>
        <w:t>：焦经理</w:t>
      </w:r>
    </w:p>
    <w:p w14:paraId="5B076001">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联系电话：</w:t>
      </w:r>
      <w:r>
        <w:rPr>
          <w:rFonts w:hint="eastAsia" w:ascii="宋体" w:hAnsi="宋体" w:cs="宋体"/>
          <w:color w:val="auto"/>
          <w:szCs w:val="21"/>
          <w:highlight w:val="none"/>
        </w:rPr>
        <w:t>0577-55778632 / yqwjjjcxz@126.com</w:t>
      </w:r>
    </w:p>
    <w:p w14:paraId="2013448E">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4.投诉受理电话/邮箱（招标代理）：18758271840/328814049@qq.com</w:t>
      </w:r>
    </w:p>
    <w:p w14:paraId="0CB94578">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5.电子招标采购平台咨询电话：0574—27680520</w:t>
      </w:r>
    </w:p>
    <w:p w14:paraId="5A36F8B5">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6.CA咨询热线：400—666—4230</w:t>
      </w:r>
    </w:p>
    <w:p w14:paraId="121094D3">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br w:type="page"/>
      </w:r>
    </w:p>
    <w:p w14:paraId="691DED80">
      <w:pPr>
        <w:pStyle w:val="22"/>
        <w:rPr>
          <w:color w:val="auto"/>
          <w:highlight w:val="none"/>
        </w:rPr>
      </w:pPr>
      <w:bookmarkStart w:id="16" w:name="_Toc6658"/>
      <w:r>
        <w:rPr>
          <w:rFonts w:hint="eastAsia"/>
          <w:color w:val="auto"/>
          <w:highlight w:val="none"/>
        </w:rPr>
        <w:t>第二章  招标需求</w:t>
      </w:r>
      <w:bookmarkEnd w:id="10"/>
      <w:bookmarkEnd w:id="16"/>
    </w:p>
    <w:p w14:paraId="14311A38">
      <w:pPr>
        <w:rPr>
          <w:color w:val="auto"/>
          <w:highlight w:val="none"/>
        </w:rPr>
      </w:pPr>
      <w:bookmarkStart w:id="17" w:name="_Toc11775"/>
      <w:bookmarkStart w:id="18" w:name="_Toc50128378"/>
    </w:p>
    <w:p w14:paraId="084137E0">
      <w:pPr>
        <w:spacing w:line="360" w:lineRule="auto"/>
        <w:ind w:firstLine="440" w:firstLineChars="200"/>
        <w:rPr>
          <w:color w:val="auto"/>
          <w:sz w:val="22"/>
          <w:szCs w:val="22"/>
          <w:highlight w:val="none"/>
        </w:rPr>
      </w:pPr>
      <w:r>
        <w:rPr>
          <w:rFonts w:hint="eastAsia" w:ascii="宋体" w:hAnsi="宋体" w:cs="宋体"/>
          <w:color w:val="auto"/>
          <w:sz w:val="22"/>
          <w:szCs w:val="22"/>
          <w:highlight w:val="none"/>
        </w:rPr>
        <w:t>本招标需求适用于</w:t>
      </w:r>
      <w:r>
        <w:rPr>
          <w:rFonts w:hint="eastAsia" w:ascii="宋体" w:hAnsi="宋体" w:cs="宋体"/>
          <w:color w:val="auto"/>
          <w:kern w:val="0"/>
          <w:sz w:val="22"/>
          <w:szCs w:val="22"/>
          <w:highlight w:val="none"/>
          <w:lang w:val="zh-CN"/>
        </w:rPr>
        <w:t>温州港乐清湾港区A区一期集装箱能力提升工程环境影响评价</w:t>
      </w:r>
      <w:r>
        <w:rPr>
          <w:rFonts w:hint="eastAsia" w:ascii="宋体" w:hAnsi="宋体" w:cs="宋体"/>
          <w:color w:val="auto"/>
          <w:sz w:val="22"/>
          <w:szCs w:val="22"/>
          <w:highlight w:val="none"/>
        </w:rPr>
        <w:t>，是招标人为该项目的投标人提出的技术规范要求，为投标人完成投标文件的依据。本章所提出的内容为本项目的最低要求，投标人必须认真阅读以下内容，以免造成损失。</w:t>
      </w:r>
    </w:p>
    <w:p w14:paraId="34739D99">
      <w:pPr>
        <w:numPr>
          <w:ilvl w:val="0"/>
          <w:numId w:val="3"/>
        </w:numPr>
        <w:autoSpaceDE w:val="0"/>
        <w:autoSpaceDN w:val="0"/>
        <w:adjustRightInd w:val="0"/>
        <w:spacing w:line="360" w:lineRule="auto"/>
        <w:ind w:right="60"/>
        <w:jc w:val="left"/>
        <w:rPr>
          <w:rFonts w:ascii="宋体" w:hAnsi="宋体"/>
          <w:b/>
          <w:bCs/>
          <w:color w:val="auto"/>
          <w:sz w:val="24"/>
          <w:highlight w:val="none"/>
        </w:rPr>
      </w:pPr>
      <w:r>
        <w:rPr>
          <w:rFonts w:hint="eastAsia" w:ascii="宋体" w:hAnsi="宋体"/>
          <w:b/>
          <w:bCs/>
          <w:color w:val="auto"/>
          <w:sz w:val="24"/>
          <w:highlight w:val="none"/>
        </w:rPr>
        <w:t>项目基本概况</w:t>
      </w:r>
    </w:p>
    <w:p w14:paraId="113CFEBC">
      <w:pPr>
        <w:autoSpaceDE w:val="0"/>
        <w:autoSpaceDN w:val="0"/>
        <w:adjustRightInd w:val="0"/>
        <w:spacing w:line="360" w:lineRule="auto"/>
        <w:ind w:right="62" w:firstLine="440" w:firstLineChars="200"/>
        <w:jc w:val="left"/>
        <w:rPr>
          <w:rFonts w:ascii="宋体" w:hAnsi="宋体"/>
          <w:color w:val="auto"/>
          <w:sz w:val="22"/>
          <w:szCs w:val="22"/>
          <w:highlight w:val="none"/>
        </w:rPr>
      </w:pPr>
      <w:r>
        <w:rPr>
          <w:rFonts w:hint="eastAsia" w:ascii="宋体" w:hAnsi="宋体"/>
          <w:color w:val="auto"/>
          <w:sz w:val="22"/>
          <w:szCs w:val="22"/>
          <w:highlight w:val="none"/>
        </w:rPr>
        <w:t>1、项目概况：本工程拟对乐清湾港区A区现有 A2 泊位进行集装箱能力提升，通过码头上配置岸桥、后方堆场进行专业化集装箱堆场分阶段改建，形成 A2 多用途泊位的集装箱规模化作业能力。项目建设内容主要包括码头面新增岸桥设备，陆域实施适配性设施改造：将现有 201～202 堆场分阶段改造为专业化集装箱堆场，将 203 堆场改造为海关查验区，在闸口南侧新建 1 座 110kV 变电站，在港内新建 1 座 10kV 变电所，通过改造 201、202 堆场形成重箱堆场、冷藏箱及危货箱场地等。本次陆域改造面积约 18.8 万㎡。其中，一阶段设计集装箱年吞吐量 30 万 TEU，件杂货吞吐量 20 万吨；二阶段设计集装箱吞吐量增加至 60 万 TEU，件杂货吞吐量为 5 万吨。</w:t>
      </w:r>
    </w:p>
    <w:p w14:paraId="108A6EAA">
      <w:pPr>
        <w:autoSpaceDE w:val="0"/>
        <w:autoSpaceDN w:val="0"/>
        <w:adjustRightInd w:val="0"/>
        <w:spacing w:line="360" w:lineRule="auto"/>
        <w:ind w:right="62" w:firstLine="440" w:firstLineChars="200"/>
        <w:jc w:val="left"/>
        <w:rPr>
          <w:rFonts w:hint="eastAsia" w:ascii="宋体" w:hAnsi="宋体" w:cs="宋体"/>
          <w:color w:val="auto"/>
          <w:sz w:val="22"/>
          <w:szCs w:val="22"/>
          <w:highlight w:val="none"/>
        </w:rPr>
      </w:pPr>
      <w:r>
        <w:rPr>
          <w:rFonts w:hint="eastAsia" w:ascii="宋体" w:hAnsi="宋体"/>
          <w:color w:val="auto"/>
          <w:sz w:val="22"/>
          <w:szCs w:val="22"/>
          <w:highlight w:val="none"/>
        </w:rPr>
        <w:t>根据相关规范要求，结合本项目建设规模等实际情况，开展本项目环境影响报告书编制。</w:t>
      </w:r>
      <w:r>
        <w:rPr>
          <w:rFonts w:hint="eastAsia" w:ascii="宋体" w:hAnsi="宋体" w:cs="宋体"/>
          <w:color w:val="auto"/>
          <w:sz w:val="22"/>
          <w:szCs w:val="22"/>
          <w:highlight w:val="none"/>
        </w:rPr>
        <w:t>主要服务内容包括但不限于</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（1）严格依据国家和地方相关的技术规范等，开展</w:t>
      </w:r>
      <w:r>
        <w:rPr>
          <w:rFonts w:hint="eastAsia" w:ascii="宋体" w:hAnsi="宋体" w:cs="宋体"/>
          <w:color w:val="auto"/>
          <w:sz w:val="22"/>
          <w:szCs w:val="22"/>
          <w:highlight w:val="none"/>
          <w:lang w:eastAsia="zh-CN"/>
        </w:rPr>
        <w:t>温州港乐清湾港区A区一期集装箱能力提升工程环境影响评价</w:t>
      </w:r>
      <w:r>
        <w:rPr>
          <w:rFonts w:hint="eastAsia" w:ascii="宋体" w:hAnsi="宋体" w:cs="宋体"/>
          <w:color w:val="auto"/>
          <w:sz w:val="22"/>
          <w:szCs w:val="22"/>
          <w:highlight w:val="none"/>
          <w:lang w:val="en-US" w:eastAsia="zh-CN"/>
        </w:rPr>
        <w:t>工作</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含</w:t>
      </w:r>
      <w:r>
        <w:rPr>
          <w:rFonts w:hint="eastAsia" w:ascii="宋体" w:hAnsi="宋体" w:cs="宋体"/>
          <w:color w:val="auto"/>
          <w:sz w:val="22"/>
          <w:szCs w:val="22"/>
          <w:highlight w:val="none"/>
        </w:rPr>
        <w:t>环境现状资料调查或收集、海洋调查（现状监测）、环境影响报告书编制、数值模拟预测专题、陆域环境监测；（2）编制的环境影响报告书通过专家审查，协助招标人取得</w:t>
      </w:r>
      <w:r>
        <w:rPr>
          <w:rFonts w:hint="eastAsia" w:ascii="宋体" w:hAnsi="宋体" w:cs="宋体"/>
          <w:color w:val="auto"/>
          <w:sz w:val="22"/>
          <w:szCs w:val="22"/>
          <w:highlight w:val="none"/>
          <w:lang w:val="en-US" w:eastAsia="zh-CN"/>
        </w:rPr>
        <w:t>生态环境主管部门出具的</w:t>
      </w:r>
      <w:r>
        <w:rPr>
          <w:rFonts w:hint="eastAsia" w:ascii="宋体" w:hAnsi="宋体" w:cs="宋体"/>
          <w:color w:val="auto"/>
          <w:sz w:val="22"/>
          <w:szCs w:val="22"/>
          <w:highlight w:val="none"/>
        </w:rPr>
        <w:t>环境影响审批意见。</w:t>
      </w:r>
    </w:p>
    <w:p w14:paraId="28B23F13">
      <w:pPr>
        <w:autoSpaceDE w:val="0"/>
        <w:autoSpaceDN w:val="0"/>
        <w:adjustRightInd w:val="0"/>
        <w:spacing w:line="360" w:lineRule="auto"/>
        <w:ind w:right="62" w:firstLine="440" w:firstLineChars="200"/>
        <w:jc w:val="left"/>
        <w:rPr>
          <w:rFonts w:ascii="宋体" w:hAnsi="宋体"/>
          <w:color w:val="auto"/>
          <w:sz w:val="22"/>
          <w:szCs w:val="22"/>
          <w:highlight w:val="none"/>
        </w:rPr>
      </w:pPr>
      <w:r>
        <w:rPr>
          <w:rFonts w:hint="eastAsia" w:ascii="宋体" w:hAnsi="宋体"/>
          <w:color w:val="auto"/>
          <w:sz w:val="22"/>
          <w:szCs w:val="22"/>
          <w:highlight w:val="none"/>
        </w:rPr>
        <w:t>2、服务期限：</w:t>
      </w:r>
      <w:r>
        <w:rPr>
          <w:rFonts w:hint="eastAsia" w:ascii="宋体" w:hAnsi="宋体"/>
          <w:color w:val="auto"/>
          <w:sz w:val="22"/>
          <w:szCs w:val="22"/>
          <w:highlight w:val="none"/>
          <w:lang w:val="zh-CN" w:eastAsia="zh-CN"/>
        </w:rPr>
        <w:t>合同签订后60天内提交环境影响报告书送审稿，送审稿经过专家评审及公示结束后7天内提交报批稿，并协助招标人完成相关报批工作。报批稿经主管部门审批同意后，中标人免费提供后续技术服务支持直至工程竣工，具体服务时间根据招标人实际工作安排确定</w:t>
      </w:r>
      <w:r>
        <w:rPr>
          <w:rFonts w:hint="eastAsia" w:ascii="宋体" w:hAnsi="宋体"/>
          <w:color w:val="auto"/>
          <w:sz w:val="22"/>
          <w:szCs w:val="22"/>
          <w:highlight w:val="none"/>
        </w:rPr>
        <w:t>。</w:t>
      </w:r>
    </w:p>
    <w:p w14:paraId="14BE44DE">
      <w:pPr>
        <w:keepNext w:val="0"/>
        <w:keepLines w:val="0"/>
        <w:pageBreakBefore w:val="0"/>
        <w:widowControl w:val="0"/>
        <w:kinsoku/>
        <w:wordWrap/>
        <w:overflowPunct/>
        <w:topLinePunct w:val="0"/>
        <w:autoSpaceDE w:val="0"/>
        <w:autoSpaceDN w:val="0"/>
        <w:bidi w:val="0"/>
        <w:adjustRightInd w:val="0"/>
        <w:snapToGrid/>
        <w:spacing w:line="360" w:lineRule="auto"/>
        <w:ind w:right="62" w:firstLine="440" w:firstLineChars="200"/>
        <w:jc w:val="left"/>
        <w:textAlignment w:val="auto"/>
        <w:rPr>
          <w:rFonts w:ascii="宋体" w:hAnsi="宋体" w:cs="新宋体"/>
          <w:color w:val="auto"/>
          <w:kern w:val="0"/>
          <w:sz w:val="22"/>
          <w:szCs w:val="22"/>
          <w:highlight w:val="none"/>
        </w:rPr>
      </w:pPr>
      <w:r>
        <w:rPr>
          <w:rFonts w:hint="eastAsia" w:hAnsi="宋体"/>
          <w:color w:val="auto"/>
          <w:sz w:val="22"/>
          <w:szCs w:val="22"/>
          <w:highlight w:val="none"/>
        </w:rPr>
        <w:t>★</w:t>
      </w:r>
      <w:r>
        <w:rPr>
          <w:rFonts w:hint="eastAsia" w:ascii="宋体" w:hAnsi="宋体" w:cs="新宋体"/>
          <w:color w:val="auto"/>
          <w:kern w:val="0"/>
          <w:sz w:val="22"/>
          <w:szCs w:val="22"/>
          <w:highlight w:val="none"/>
        </w:rPr>
        <w:t>3、本项目最高限价为55万元（人民币），投标报价超最高限价的作无效标处理。</w:t>
      </w:r>
    </w:p>
    <w:p w14:paraId="7672EBED">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right="62" w:firstLine="440" w:firstLineChars="200"/>
        <w:jc w:val="left"/>
        <w:textAlignment w:val="auto"/>
        <w:rPr>
          <w:rFonts w:ascii="宋体" w:hAnsi="宋体" w:cs="新宋体"/>
          <w:color w:val="auto"/>
          <w:kern w:val="0"/>
          <w:sz w:val="22"/>
          <w:szCs w:val="22"/>
          <w:highlight w:val="none"/>
        </w:rPr>
      </w:pPr>
      <w:r>
        <w:rPr>
          <w:rFonts w:hint="eastAsia" w:ascii="宋体" w:hAnsi="宋体" w:cs="新宋体"/>
          <w:color w:val="auto"/>
          <w:kern w:val="0"/>
          <w:sz w:val="22"/>
          <w:szCs w:val="22"/>
          <w:highlight w:val="none"/>
        </w:rPr>
        <w:t>本项目投标报价应包括但不限于勘测费、资料费、专家评审费、会务费、人工费、设备（软件）费、差旅费、印刷打印费、间接费用、保险税金、平台交易服务费、利润等一切费用，总价包干。</w:t>
      </w:r>
    </w:p>
    <w:p w14:paraId="6E5B3F68">
      <w:pPr>
        <w:spacing w:line="400" w:lineRule="exact"/>
        <w:rPr>
          <w:rFonts w:ascii="宋体" w:hAnsi="宋体"/>
          <w:b/>
          <w:bCs/>
          <w:color w:val="auto"/>
          <w:sz w:val="24"/>
          <w:highlight w:val="none"/>
        </w:rPr>
      </w:pPr>
      <w:r>
        <w:rPr>
          <w:rFonts w:hint="eastAsia" w:ascii="宋体" w:hAnsi="宋体"/>
          <w:b/>
          <w:bCs/>
          <w:color w:val="auto"/>
          <w:sz w:val="24"/>
          <w:highlight w:val="none"/>
        </w:rPr>
        <w:t>二、服务要求</w:t>
      </w:r>
    </w:p>
    <w:p w14:paraId="678E5095">
      <w:pPr>
        <w:spacing w:line="400" w:lineRule="exact"/>
        <w:ind w:firstLine="442" w:firstLineChars="200"/>
        <w:rPr>
          <w:rFonts w:ascii="宋体" w:hAnsi="宋体" w:cs="微软雅黑"/>
          <w:b/>
          <w:bCs/>
          <w:color w:val="auto"/>
          <w:kern w:val="44"/>
          <w:sz w:val="22"/>
          <w:szCs w:val="22"/>
          <w:highlight w:val="none"/>
        </w:rPr>
      </w:pPr>
      <w:r>
        <w:rPr>
          <w:rFonts w:hint="eastAsia" w:ascii="宋体" w:hAnsi="宋体" w:cs="微软雅黑"/>
          <w:b/>
          <w:bCs/>
          <w:color w:val="auto"/>
          <w:kern w:val="44"/>
          <w:sz w:val="22"/>
          <w:szCs w:val="22"/>
          <w:highlight w:val="none"/>
        </w:rPr>
        <w:t>1、方案实施</w:t>
      </w:r>
    </w:p>
    <w:p w14:paraId="5F3C4BF2">
      <w:pPr>
        <w:spacing w:line="400" w:lineRule="exact"/>
        <w:ind w:firstLine="440" w:firstLineChars="200"/>
        <w:rPr>
          <w:rFonts w:ascii="宋体" w:hAnsi="宋体" w:cs="微软雅黑"/>
          <w:bCs/>
          <w:color w:val="auto"/>
          <w:kern w:val="44"/>
          <w:sz w:val="22"/>
          <w:szCs w:val="22"/>
          <w:highlight w:val="none"/>
        </w:rPr>
      </w:pPr>
      <w:r>
        <w:rPr>
          <w:rFonts w:hint="eastAsia" w:ascii="宋体" w:hAnsi="宋体" w:cs="微软雅黑"/>
          <w:bCs/>
          <w:color w:val="auto"/>
          <w:kern w:val="44"/>
          <w:sz w:val="22"/>
          <w:szCs w:val="22"/>
          <w:highlight w:val="none"/>
        </w:rPr>
        <w:t>投标人须按照采购内容和具体项目的要求，制定具体详细的任务实施方案。</w:t>
      </w:r>
    </w:p>
    <w:p w14:paraId="32923DC3">
      <w:pPr>
        <w:spacing w:line="400" w:lineRule="exact"/>
        <w:ind w:firstLine="442" w:firstLineChars="200"/>
        <w:rPr>
          <w:rFonts w:ascii="宋体" w:hAnsi="宋体" w:cs="微软雅黑"/>
          <w:b/>
          <w:bCs/>
          <w:color w:val="auto"/>
          <w:kern w:val="44"/>
          <w:sz w:val="22"/>
          <w:szCs w:val="22"/>
          <w:highlight w:val="none"/>
        </w:rPr>
      </w:pPr>
      <w:r>
        <w:rPr>
          <w:rFonts w:hint="eastAsia" w:ascii="宋体" w:hAnsi="宋体" w:cs="微软雅黑"/>
          <w:b/>
          <w:bCs/>
          <w:color w:val="auto"/>
          <w:kern w:val="44"/>
          <w:sz w:val="22"/>
          <w:szCs w:val="22"/>
          <w:highlight w:val="none"/>
        </w:rPr>
        <w:t>2、人员管理要求</w:t>
      </w:r>
    </w:p>
    <w:p w14:paraId="3269DEFA">
      <w:pPr>
        <w:spacing w:line="400" w:lineRule="exact"/>
        <w:ind w:firstLine="440" w:firstLineChars="200"/>
        <w:rPr>
          <w:rFonts w:ascii="宋体" w:hAnsi="宋体" w:cs="微软雅黑"/>
          <w:bCs/>
          <w:color w:val="auto"/>
          <w:kern w:val="44"/>
          <w:sz w:val="22"/>
          <w:szCs w:val="22"/>
          <w:highlight w:val="none"/>
        </w:rPr>
      </w:pPr>
      <w:r>
        <w:rPr>
          <w:rFonts w:hint="eastAsia" w:ascii="宋体" w:hAnsi="宋体" w:cs="微软雅黑"/>
          <w:bCs/>
          <w:color w:val="auto"/>
          <w:kern w:val="44"/>
          <w:sz w:val="22"/>
          <w:szCs w:val="22"/>
          <w:highlight w:val="none"/>
        </w:rPr>
        <w:t>2.1投标人至少指定一名经验丰富的技术人员作为本项目的项目负责人，负责此项目的具体工作的正常开展和沟通协调。服务期内非得到招标人允许，项目负责人不得更换。</w:t>
      </w:r>
    </w:p>
    <w:p w14:paraId="361470E5">
      <w:pPr>
        <w:spacing w:line="400" w:lineRule="exact"/>
        <w:ind w:firstLine="440" w:firstLineChars="200"/>
        <w:rPr>
          <w:rFonts w:ascii="宋体" w:hAnsi="宋体" w:cs="微软雅黑"/>
          <w:bCs/>
          <w:color w:val="auto"/>
          <w:kern w:val="44"/>
          <w:sz w:val="22"/>
          <w:szCs w:val="22"/>
          <w:highlight w:val="none"/>
        </w:rPr>
      </w:pPr>
      <w:r>
        <w:rPr>
          <w:rFonts w:hint="eastAsia" w:ascii="宋体" w:hAnsi="宋体" w:cs="微软雅黑"/>
          <w:bCs/>
          <w:color w:val="auto"/>
          <w:kern w:val="44"/>
          <w:sz w:val="22"/>
          <w:szCs w:val="22"/>
          <w:highlight w:val="none"/>
        </w:rPr>
        <w:t>2.2</w:t>
      </w:r>
      <w:r>
        <w:rPr>
          <w:rFonts w:hint="eastAsia" w:ascii="宋体" w:hAnsi="宋体" w:cs="微软雅黑"/>
          <w:bCs/>
          <w:color w:val="auto"/>
          <w:kern w:val="44"/>
          <w:sz w:val="22"/>
          <w:szCs w:val="22"/>
          <w:highlight w:val="none"/>
          <w:lang w:val="en-US" w:eastAsia="zh-CN"/>
        </w:rPr>
        <w:t>在完成项目报批前</w:t>
      </w:r>
      <w:r>
        <w:rPr>
          <w:rFonts w:hint="eastAsia" w:ascii="宋体" w:hAnsi="宋体" w:cs="微软雅黑"/>
          <w:bCs/>
          <w:color w:val="auto"/>
          <w:kern w:val="44"/>
          <w:sz w:val="22"/>
          <w:szCs w:val="22"/>
          <w:highlight w:val="none"/>
        </w:rPr>
        <w:t>，项目实施人员变动不可超过总数的20%</w:t>
      </w:r>
      <w:r>
        <w:rPr>
          <w:rFonts w:hint="eastAsia" w:ascii="宋体" w:hAnsi="宋体" w:cs="微软雅黑"/>
          <w:bCs/>
          <w:color w:val="auto"/>
          <w:kern w:val="44"/>
          <w:sz w:val="22"/>
          <w:szCs w:val="22"/>
          <w:highlight w:val="none"/>
          <w:lang w:eastAsia="zh-CN"/>
        </w:rPr>
        <w:t>；</w:t>
      </w:r>
      <w:r>
        <w:rPr>
          <w:rFonts w:hint="eastAsia" w:ascii="宋体" w:hAnsi="宋体" w:cs="微软雅黑"/>
          <w:bCs/>
          <w:color w:val="auto"/>
          <w:kern w:val="44"/>
          <w:sz w:val="22"/>
          <w:szCs w:val="22"/>
          <w:highlight w:val="none"/>
        </w:rPr>
        <w:t xml:space="preserve">若发生较大人员变动，中标人需向招标人报备，经招标人同意方可继续实施项目。 </w:t>
      </w:r>
    </w:p>
    <w:p w14:paraId="26BEED8F">
      <w:pPr>
        <w:spacing w:line="400" w:lineRule="exact"/>
        <w:ind w:firstLine="440" w:firstLineChars="200"/>
        <w:rPr>
          <w:rFonts w:ascii="宋体" w:hAnsi="宋体" w:cs="微软雅黑"/>
          <w:bCs/>
          <w:color w:val="auto"/>
          <w:kern w:val="44"/>
          <w:sz w:val="22"/>
          <w:szCs w:val="22"/>
          <w:highlight w:val="none"/>
        </w:rPr>
      </w:pPr>
      <w:r>
        <w:rPr>
          <w:rFonts w:hint="eastAsia" w:ascii="宋体" w:hAnsi="宋体" w:cs="微软雅黑"/>
          <w:bCs/>
          <w:color w:val="auto"/>
          <w:kern w:val="44"/>
          <w:sz w:val="22"/>
          <w:szCs w:val="22"/>
          <w:highlight w:val="none"/>
        </w:rPr>
        <w:t>2.3合同期间,中标人应采取必要的安全保护及相关措施,保障工作人员的人身和财产安全。如工作人员在工作中发生任何人身损害及财产损失与招标人无关，中标人负责全权处理事故并承担全部费用,并且中标人自愿放弃对招标人提起任何索赔及法律责任追究。</w:t>
      </w:r>
    </w:p>
    <w:p w14:paraId="14CF947E">
      <w:pPr>
        <w:spacing w:line="400" w:lineRule="exact"/>
        <w:ind w:firstLine="440" w:firstLineChars="200"/>
        <w:rPr>
          <w:rFonts w:ascii="宋体" w:hAnsi="宋体" w:cs="微软雅黑"/>
          <w:bCs/>
          <w:color w:val="auto"/>
          <w:kern w:val="44"/>
          <w:sz w:val="22"/>
          <w:szCs w:val="22"/>
          <w:highlight w:val="none"/>
        </w:rPr>
      </w:pPr>
      <w:r>
        <w:rPr>
          <w:rFonts w:hint="eastAsia" w:ascii="宋体" w:hAnsi="宋体" w:cs="微软雅黑"/>
          <w:bCs/>
          <w:color w:val="auto"/>
          <w:kern w:val="44"/>
          <w:sz w:val="22"/>
          <w:szCs w:val="22"/>
          <w:highlight w:val="none"/>
        </w:rPr>
        <w:t>2.4中标人在履行合同期间有弄虚作假或其他违法违纪行为的，招标人可提请有关机关依法追究其法律责任。</w:t>
      </w:r>
    </w:p>
    <w:p w14:paraId="53553B5F">
      <w:pPr>
        <w:spacing w:line="400" w:lineRule="exact"/>
        <w:ind w:firstLine="442" w:firstLineChars="200"/>
        <w:rPr>
          <w:rFonts w:ascii="宋体" w:hAnsi="宋体" w:cs="微软雅黑"/>
          <w:b/>
          <w:bCs/>
          <w:color w:val="auto"/>
          <w:kern w:val="44"/>
          <w:sz w:val="22"/>
          <w:szCs w:val="22"/>
          <w:highlight w:val="none"/>
        </w:rPr>
      </w:pPr>
      <w:r>
        <w:rPr>
          <w:rFonts w:hint="eastAsia" w:ascii="宋体" w:hAnsi="宋体" w:cs="微软雅黑"/>
          <w:b/>
          <w:bCs/>
          <w:color w:val="auto"/>
          <w:kern w:val="44"/>
          <w:sz w:val="22"/>
          <w:szCs w:val="22"/>
          <w:highlight w:val="none"/>
        </w:rPr>
        <w:t>3、外部质量监督要求</w:t>
      </w:r>
    </w:p>
    <w:p w14:paraId="18728F92">
      <w:pPr>
        <w:spacing w:line="400" w:lineRule="exact"/>
        <w:ind w:firstLine="440" w:firstLineChars="200"/>
        <w:rPr>
          <w:rFonts w:ascii="宋体" w:hAnsi="宋体" w:cs="微软雅黑"/>
          <w:bCs/>
          <w:color w:val="auto"/>
          <w:kern w:val="44"/>
          <w:sz w:val="22"/>
          <w:szCs w:val="22"/>
          <w:highlight w:val="none"/>
        </w:rPr>
      </w:pPr>
      <w:r>
        <w:rPr>
          <w:rFonts w:hint="eastAsia" w:ascii="宋体" w:hAnsi="宋体" w:cs="微软雅黑"/>
          <w:bCs/>
          <w:color w:val="auto"/>
          <w:kern w:val="44"/>
          <w:sz w:val="22"/>
          <w:szCs w:val="22"/>
          <w:highlight w:val="none"/>
        </w:rPr>
        <w:t>3.1中标人要接受招标人对工作进度和工作质量的控制，接受招标人制定的质量监督计划，当出现异常情况时，配合招标人开展核查工作。</w:t>
      </w:r>
    </w:p>
    <w:p w14:paraId="3C07E250">
      <w:pPr>
        <w:spacing w:line="400" w:lineRule="exact"/>
        <w:ind w:firstLine="440" w:firstLineChars="200"/>
        <w:rPr>
          <w:rFonts w:ascii="宋体" w:hAnsi="宋体" w:cs="微软雅黑"/>
          <w:bCs/>
          <w:color w:val="auto"/>
          <w:kern w:val="44"/>
          <w:sz w:val="22"/>
          <w:szCs w:val="22"/>
          <w:highlight w:val="none"/>
        </w:rPr>
      </w:pPr>
      <w:r>
        <w:rPr>
          <w:rFonts w:hint="eastAsia" w:ascii="宋体" w:hAnsi="宋体" w:cs="微软雅黑"/>
          <w:bCs/>
          <w:color w:val="auto"/>
          <w:kern w:val="44"/>
          <w:sz w:val="22"/>
          <w:szCs w:val="22"/>
          <w:highlight w:val="none"/>
        </w:rPr>
        <w:t>3.2本项目所形成的项目成果归招标人所有。未经招标人授权，中标人无权将数据、资料或相关信息发送给任何第三方。</w:t>
      </w:r>
      <w:r>
        <w:rPr>
          <w:rFonts w:hint="eastAsia" w:ascii="宋体" w:hAnsi="宋体" w:cs="微软雅黑"/>
          <w:b/>
          <w:color w:val="auto"/>
          <w:kern w:val="44"/>
          <w:sz w:val="22"/>
          <w:szCs w:val="22"/>
          <w:highlight w:val="none"/>
        </w:rPr>
        <w:t>中标人应遵守相关保密规定，为招标人保密，并签订保密协议</w:t>
      </w:r>
      <w:r>
        <w:rPr>
          <w:rFonts w:hint="eastAsia" w:ascii="宋体" w:hAnsi="宋体" w:cs="微软雅黑"/>
          <w:bCs/>
          <w:color w:val="auto"/>
          <w:kern w:val="44"/>
          <w:sz w:val="22"/>
          <w:szCs w:val="22"/>
          <w:highlight w:val="none"/>
        </w:rPr>
        <w:t>。</w:t>
      </w:r>
    </w:p>
    <w:p w14:paraId="45C99298">
      <w:pPr>
        <w:autoSpaceDE w:val="0"/>
        <w:autoSpaceDN w:val="0"/>
        <w:adjustRightInd w:val="0"/>
        <w:spacing w:line="360" w:lineRule="auto"/>
        <w:ind w:right="60"/>
        <w:jc w:val="left"/>
        <w:rPr>
          <w:rFonts w:ascii="宋体" w:hAnsi="宋体"/>
          <w:b/>
          <w:bCs/>
          <w:color w:val="auto"/>
          <w:sz w:val="24"/>
          <w:highlight w:val="none"/>
        </w:rPr>
      </w:pPr>
      <w:r>
        <w:rPr>
          <w:rFonts w:hint="eastAsia" w:ascii="宋体" w:hAnsi="宋体"/>
          <w:b/>
          <w:bCs/>
          <w:color w:val="auto"/>
          <w:sz w:val="24"/>
          <w:highlight w:val="none"/>
        </w:rPr>
        <w:t>三、商务要求</w:t>
      </w:r>
    </w:p>
    <w:tbl>
      <w:tblPr>
        <w:tblStyle w:val="30"/>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065"/>
      </w:tblGrid>
      <w:tr w14:paraId="5F6B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1805" w:type="dxa"/>
            <w:vAlign w:val="center"/>
          </w:tcPr>
          <w:p w14:paraId="5BD304C1">
            <w:pPr>
              <w:adjustRightInd w:val="0"/>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服务期限</w:t>
            </w:r>
          </w:p>
        </w:tc>
        <w:tc>
          <w:tcPr>
            <w:tcW w:w="7065" w:type="dxa"/>
            <w:vAlign w:val="center"/>
          </w:tcPr>
          <w:p w14:paraId="40DF29D3">
            <w:pPr>
              <w:tabs>
                <w:tab w:val="left" w:pos="1260"/>
              </w:tabs>
              <w:spacing w:line="440" w:lineRule="exact"/>
              <w:rPr>
                <w:bCs/>
                <w:color w:val="auto"/>
                <w:sz w:val="20"/>
                <w:highlight w:val="none"/>
              </w:rPr>
            </w:pPr>
            <w:r>
              <w:rPr>
                <w:rFonts w:hint="eastAsia"/>
                <w:bCs/>
                <w:color w:val="auto"/>
                <w:sz w:val="20"/>
                <w:highlight w:val="none"/>
                <w:lang w:val="zh-CN" w:eastAsia="zh-CN"/>
              </w:rPr>
              <w:t>合同签订后60天内提交环境影响报告书送审稿，送审稿经过专家评审及公示结束后7天内提交报批稿，并协助招标人完成相关报批工作。报批稿经主管部门审批同意后，中标人免费提供后续技术服务支持直至工程竣工，具体服务时间根据招标人实际工作安排确定</w:t>
            </w:r>
            <w:r>
              <w:rPr>
                <w:rFonts w:hint="eastAsia"/>
                <w:bCs/>
                <w:color w:val="auto"/>
                <w:sz w:val="20"/>
                <w:highlight w:val="none"/>
              </w:rPr>
              <w:t>。</w:t>
            </w:r>
          </w:p>
        </w:tc>
      </w:tr>
      <w:tr w14:paraId="5202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805" w:type="dxa"/>
            <w:vAlign w:val="center"/>
          </w:tcPr>
          <w:p w14:paraId="2FC35158">
            <w:pPr>
              <w:adjustRightInd w:val="0"/>
              <w:snapToGrid w:val="0"/>
              <w:spacing w:line="400" w:lineRule="exact"/>
              <w:jc w:val="center"/>
              <w:rPr>
                <w:rFonts w:ascii="宋体" w:hAnsi="宋体"/>
                <w:b/>
                <w:color w:val="auto"/>
                <w:szCs w:val="21"/>
                <w:highlight w:val="none"/>
              </w:rPr>
            </w:pPr>
            <w:r>
              <w:rPr>
                <w:rFonts w:hint="eastAsia" w:hAnsi="宋体"/>
                <w:color w:val="auto"/>
                <w:sz w:val="22"/>
                <w:szCs w:val="22"/>
                <w:highlight w:val="none"/>
              </w:rPr>
              <w:t>★</w:t>
            </w:r>
            <w:r>
              <w:rPr>
                <w:rFonts w:hint="eastAsia" w:ascii="宋体" w:hAnsi="宋体"/>
                <w:b/>
                <w:color w:val="auto"/>
                <w:szCs w:val="21"/>
                <w:highlight w:val="none"/>
              </w:rPr>
              <w:t>付款条件</w:t>
            </w:r>
          </w:p>
        </w:tc>
        <w:tc>
          <w:tcPr>
            <w:tcW w:w="7065" w:type="dxa"/>
          </w:tcPr>
          <w:p w14:paraId="207EDCB2">
            <w:pPr>
              <w:adjustRightInd w:val="0"/>
              <w:snapToGrid w:val="0"/>
              <w:spacing w:line="400" w:lineRule="exact"/>
              <w:jc w:val="left"/>
              <w:rPr>
                <w:rFonts w:ascii="宋体" w:hAnsi="宋体"/>
                <w:b/>
                <w:bCs/>
                <w:color w:val="auto"/>
                <w:szCs w:val="21"/>
                <w:highlight w:val="none"/>
              </w:rPr>
            </w:pPr>
            <w:bookmarkStart w:id="19" w:name="_Hlk111462893"/>
            <w:r>
              <w:rPr>
                <w:rFonts w:hint="eastAsia" w:ascii="宋体" w:hAnsi="宋体"/>
                <w:color w:val="auto"/>
                <w:szCs w:val="21"/>
                <w:highlight w:val="none"/>
              </w:rPr>
              <w:t>合同签订后，招标人在15日内支付合同总价的2</w:t>
            </w:r>
            <w:r>
              <w:rPr>
                <w:rFonts w:ascii="宋体" w:hAnsi="宋体"/>
                <w:color w:val="auto"/>
                <w:szCs w:val="21"/>
                <w:highlight w:val="none"/>
              </w:rPr>
              <w:t>0%</w:t>
            </w:r>
            <w:r>
              <w:rPr>
                <w:rFonts w:hint="eastAsia" w:ascii="宋体" w:hAnsi="宋体"/>
                <w:color w:val="auto"/>
                <w:szCs w:val="21"/>
                <w:highlight w:val="none"/>
              </w:rPr>
              <w:t>；</w:t>
            </w:r>
            <w:r>
              <w:rPr>
                <w:rFonts w:hint="eastAsia" w:ascii="宋体" w:hAnsi="宋体"/>
                <w:color w:val="auto"/>
                <w:highlight w:val="none"/>
              </w:rPr>
              <w:t>报告通过专家审查，</w:t>
            </w:r>
            <w:r>
              <w:rPr>
                <w:rFonts w:hint="eastAsia" w:ascii="宋体" w:hAnsi="宋体"/>
                <w:color w:val="auto"/>
                <w:szCs w:val="21"/>
                <w:highlight w:val="none"/>
              </w:rPr>
              <w:t>并通过主管部门审批后，支付至合同总价的100%。</w:t>
            </w:r>
            <w:bookmarkEnd w:id="19"/>
          </w:p>
        </w:tc>
      </w:tr>
      <w:tr w14:paraId="1E04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5" w:type="dxa"/>
            <w:vAlign w:val="center"/>
          </w:tcPr>
          <w:p w14:paraId="5F9CEA37">
            <w:pPr>
              <w:adjustRightInd w:val="0"/>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知识产权</w:t>
            </w:r>
          </w:p>
        </w:tc>
        <w:tc>
          <w:tcPr>
            <w:tcW w:w="7065" w:type="dxa"/>
            <w:vAlign w:val="center"/>
          </w:tcPr>
          <w:p w14:paraId="1ECD8A93">
            <w:pPr>
              <w:tabs>
                <w:tab w:val="left" w:pos="1260"/>
              </w:tabs>
              <w:spacing w:line="440" w:lineRule="exact"/>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s="微软雅黑"/>
                <w:bCs/>
                <w:color w:val="auto"/>
                <w:kern w:val="44"/>
                <w:szCs w:val="21"/>
                <w:highlight w:val="none"/>
              </w:rPr>
              <w:t>所有</w:t>
            </w:r>
            <w:r>
              <w:rPr>
                <w:rFonts w:hint="eastAsia" w:ascii="宋体" w:hAnsi="宋体"/>
                <w:color w:val="auto"/>
                <w:szCs w:val="21"/>
                <w:highlight w:val="none"/>
              </w:rPr>
              <w:t>成果所有权和使用权均属于招标人（</w:t>
            </w:r>
            <w:r>
              <w:rPr>
                <w:rFonts w:hint="eastAsia" w:ascii="宋体" w:hAnsi="宋体" w:cs="宋体"/>
                <w:color w:val="auto"/>
                <w:sz w:val="22"/>
                <w:szCs w:val="22"/>
                <w:highlight w:val="none"/>
              </w:rPr>
              <w:t>温州港乐清湾港务有限公司</w:t>
            </w:r>
            <w:r>
              <w:rPr>
                <w:rFonts w:hint="eastAsia" w:ascii="宋体" w:hAnsi="宋体"/>
                <w:color w:val="auto"/>
                <w:szCs w:val="21"/>
                <w:highlight w:val="none"/>
              </w:rPr>
              <w:t>）。未经招标人书面同意，任何单位和个人不得转让和使用本项目成果，否则承担由此产生的一切法律和经济责任。</w:t>
            </w:r>
          </w:p>
        </w:tc>
      </w:tr>
      <w:tr w14:paraId="373A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805" w:type="dxa"/>
            <w:vAlign w:val="center"/>
          </w:tcPr>
          <w:p w14:paraId="79DAC043">
            <w:pPr>
              <w:adjustRightInd w:val="0"/>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安全生产</w:t>
            </w:r>
          </w:p>
        </w:tc>
        <w:tc>
          <w:tcPr>
            <w:tcW w:w="7065" w:type="dxa"/>
            <w:vAlign w:val="center"/>
          </w:tcPr>
          <w:p w14:paraId="5A66198F">
            <w:pPr>
              <w:autoSpaceDE w:val="0"/>
              <w:autoSpaceDN w:val="0"/>
              <w:adjustRightInd w:val="0"/>
              <w:spacing w:line="400" w:lineRule="exact"/>
              <w:jc w:val="left"/>
              <w:rPr>
                <w:rFonts w:ascii="宋体" w:hAnsi="宋体"/>
                <w:color w:val="auto"/>
                <w:szCs w:val="21"/>
                <w:highlight w:val="none"/>
              </w:rPr>
            </w:pPr>
            <w:r>
              <w:rPr>
                <w:rFonts w:hint="eastAsia" w:ascii="宋体" w:hAnsi="宋体"/>
                <w:color w:val="auto"/>
                <w:szCs w:val="21"/>
                <w:highlight w:val="none"/>
              </w:rPr>
              <w:t>中标人应自行承担项目实施过程中安全生产责任，招标人任何情况下均不承担因此产生的任何法律责任和经济责任。</w:t>
            </w:r>
          </w:p>
        </w:tc>
      </w:tr>
    </w:tbl>
    <w:p w14:paraId="09F2E62C">
      <w:pPr>
        <w:autoSpaceDE w:val="0"/>
        <w:autoSpaceDN w:val="0"/>
        <w:adjustRightInd w:val="0"/>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注：1、以上是招标人为本项目提出的基本服务要求，投标人应全部满足。</w:t>
      </w:r>
    </w:p>
    <w:p w14:paraId="686CA409">
      <w:pPr>
        <w:autoSpaceDE w:val="0"/>
        <w:autoSpaceDN w:val="0"/>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2、在此基础上，</w:t>
      </w:r>
      <w:r>
        <w:rPr>
          <w:rFonts w:hint="eastAsia" w:ascii="宋体" w:hAnsi="宋体"/>
          <w:snapToGrid w:val="0"/>
          <w:color w:val="auto"/>
          <w:kern w:val="0"/>
          <w:sz w:val="22"/>
          <w:szCs w:val="22"/>
          <w:highlight w:val="none"/>
        </w:rPr>
        <w:t>中标人</w:t>
      </w:r>
      <w:r>
        <w:rPr>
          <w:rFonts w:hint="eastAsia" w:ascii="宋体" w:hAnsi="宋体" w:cs="宋体"/>
          <w:color w:val="auto"/>
          <w:sz w:val="22"/>
          <w:szCs w:val="22"/>
          <w:highlight w:val="none"/>
        </w:rPr>
        <w:t>若有其他服务承诺，也将一并执行。</w:t>
      </w:r>
    </w:p>
    <w:p w14:paraId="261D4FA9">
      <w:pPr>
        <w:autoSpaceDE w:val="0"/>
        <w:autoSpaceDN w:val="0"/>
        <w:adjustRightInd w:val="0"/>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3、标“</w:t>
      </w:r>
      <w:r>
        <w:rPr>
          <w:rFonts w:hint="eastAsia" w:hAnsi="宋体"/>
          <w:color w:val="auto"/>
          <w:sz w:val="22"/>
          <w:szCs w:val="22"/>
          <w:highlight w:val="none"/>
        </w:rPr>
        <w:t>★</w:t>
      </w:r>
      <w:r>
        <w:rPr>
          <w:rFonts w:hint="eastAsia" w:ascii="宋体" w:hAnsi="宋体" w:cs="宋体"/>
          <w:color w:val="auto"/>
          <w:sz w:val="22"/>
          <w:szCs w:val="22"/>
          <w:highlight w:val="none"/>
        </w:rPr>
        <w:t>”条款是实质性条款，投标人必须全部响应，否则投标无效。</w:t>
      </w:r>
    </w:p>
    <w:p w14:paraId="324A5AC1">
      <w:pPr>
        <w:rPr>
          <w:color w:val="auto"/>
          <w:highlight w:val="none"/>
        </w:rPr>
        <w:sectPr>
          <w:footerReference r:id="rId6" w:type="default"/>
          <w:pgSz w:w="11906" w:h="16838"/>
          <w:pgMar w:top="1440" w:right="1417" w:bottom="1440" w:left="1417" w:header="851" w:footer="992" w:gutter="0"/>
          <w:cols w:space="720" w:num="1"/>
          <w:docGrid w:type="lines" w:linePitch="312" w:charSpace="0"/>
        </w:sectPr>
      </w:pPr>
    </w:p>
    <w:p w14:paraId="635F4A64">
      <w:pPr>
        <w:pStyle w:val="22"/>
        <w:rPr>
          <w:color w:val="auto"/>
          <w:highlight w:val="none"/>
        </w:rPr>
      </w:pPr>
      <w:r>
        <w:rPr>
          <w:rFonts w:hint="eastAsia"/>
          <w:color w:val="auto"/>
          <w:highlight w:val="none"/>
        </w:rPr>
        <w:t>第三章  投标人须知前附表</w:t>
      </w:r>
      <w:bookmarkEnd w:id="17"/>
      <w:bookmarkEnd w:id="18"/>
    </w:p>
    <w:tbl>
      <w:tblPr>
        <w:tblStyle w:val="30"/>
        <w:tblpPr w:leftFromText="180" w:rightFromText="180" w:vertAnchor="text" w:horzAnchor="margin" w:tblpY="286"/>
        <w:tblOverlap w:val="never"/>
        <w:tblW w:w="8998" w:type="dxa"/>
        <w:tblInd w:w="0" w:type="dxa"/>
        <w:tblLayout w:type="fixed"/>
        <w:tblCellMar>
          <w:top w:w="0" w:type="dxa"/>
          <w:left w:w="108" w:type="dxa"/>
          <w:bottom w:w="0" w:type="dxa"/>
          <w:right w:w="108" w:type="dxa"/>
        </w:tblCellMar>
      </w:tblPr>
      <w:tblGrid>
        <w:gridCol w:w="867"/>
        <w:gridCol w:w="1560"/>
        <w:gridCol w:w="6571"/>
      </w:tblGrid>
      <w:tr w14:paraId="56D26B28">
        <w:tblPrEx>
          <w:tblCellMar>
            <w:top w:w="0" w:type="dxa"/>
            <w:left w:w="108" w:type="dxa"/>
            <w:bottom w:w="0" w:type="dxa"/>
            <w:right w:w="108" w:type="dxa"/>
          </w:tblCellMar>
        </w:tblPrEx>
        <w:trPr>
          <w:trHeight w:val="692" w:hRule="exact"/>
        </w:trPr>
        <w:tc>
          <w:tcPr>
            <w:tcW w:w="867" w:type="dxa"/>
            <w:tcBorders>
              <w:top w:val="single" w:color="auto" w:sz="4" w:space="0"/>
              <w:left w:val="single" w:color="auto" w:sz="4" w:space="0"/>
              <w:bottom w:val="single" w:color="auto" w:sz="4" w:space="0"/>
              <w:right w:val="single" w:color="auto" w:sz="4" w:space="0"/>
            </w:tcBorders>
            <w:vAlign w:val="center"/>
          </w:tcPr>
          <w:p w14:paraId="362C0843">
            <w:pPr>
              <w:spacing w:line="3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771B43DF">
            <w:pPr>
              <w:spacing w:line="3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条款名称</w:t>
            </w:r>
          </w:p>
        </w:tc>
        <w:tc>
          <w:tcPr>
            <w:tcW w:w="6571" w:type="dxa"/>
            <w:tcBorders>
              <w:top w:val="single" w:color="auto" w:sz="4" w:space="0"/>
              <w:left w:val="single" w:color="auto" w:sz="4" w:space="0"/>
              <w:bottom w:val="single" w:color="auto" w:sz="4" w:space="0"/>
              <w:right w:val="single" w:color="auto" w:sz="4" w:space="0"/>
            </w:tcBorders>
            <w:vAlign w:val="center"/>
          </w:tcPr>
          <w:p w14:paraId="44276616">
            <w:pPr>
              <w:spacing w:line="3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编列内容</w:t>
            </w:r>
          </w:p>
        </w:tc>
      </w:tr>
      <w:tr w14:paraId="73D81792">
        <w:tblPrEx>
          <w:tblCellMar>
            <w:top w:w="0" w:type="dxa"/>
            <w:left w:w="108" w:type="dxa"/>
            <w:bottom w:w="0" w:type="dxa"/>
            <w:right w:w="108" w:type="dxa"/>
          </w:tblCellMar>
        </w:tblPrEx>
        <w:trPr>
          <w:trHeight w:val="1068" w:hRule="atLeast"/>
        </w:trPr>
        <w:tc>
          <w:tcPr>
            <w:tcW w:w="867" w:type="dxa"/>
            <w:tcBorders>
              <w:top w:val="single" w:color="auto" w:sz="4" w:space="0"/>
              <w:left w:val="single" w:color="auto" w:sz="4" w:space="0"/>
              <w:bottom w:val="single" w:color="auto" w:sz="4" w:space="0"/>
              <w:right w:val="single" w:color="auto" w:sz="4" w:space="0"/>
            </w:tcBorders>
            <w:vAlign w:val="center"/>
          </w:tcPr>
          <w:p w14:paraId="077ADB6A">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1</w:t>
            </w:r>
          </w:p>
        </w:tc>
        <w:tc>
          <w:tcPr>
            <w:tcW w:w="1560" w:type="dxa"/>
            <w:tcBorders>
              <w:top w:val="single" w:color="auto" w:sz="4" w:space="0"/>
              <w:left w:val="single" w:color="auto" w:sz="4" w:space="0"/>
              <w:bottom w:val="single" w:color="auto" w:sz="4" w:space="0"/>
              <w:right w:val="single" w:color="auto" w:sz="4" w:space="0"/>
            </w:tcBorders>
            <w:vAlign w:val="center"/>
          </w:tcPr>
          <w:p w14:paraId="5FDC0CFB">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招标人</w:t>
            </w:r>
          </w:p>
        </w:tc>
        <w:tc>
          <w:tcPr>
            <w:tcW w:w="6571" w:type="dxa"/>
            <w:tcBorders>
              <w:top w:val="single" w:color="auto" w:sz="4" w:space="0"/>
              <w:left w:val="single" w:color="auto" w:sz="4" w:space="0"/>
              <w:bottom w:val="single" w:color="auto" w:sz="4" w:space="0"/>
              <w:right w:val="single" w:color="auto" w:sz="4" w:space="0"/>
            </w:tcBorders>
            <w:vAlign w:val="center"/>
          </w:tcPr>
          <w:p w14:paraId="7BA87F10">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名  称：温州港乐清湾港务有限公司</w:t>
            </w:r>
          </w:p>
          <w:p w14:paraId="06E79C31">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联系人：</w:t>
            </w:r>
            <w:r>
              <w:rPr>
                <w:rFonts w:hint="eastAsia"/>
                <w:color w:val="auto"/>
                <w:highlight w:val="none"/>
              </w:rPr>
              <w:t>严工</w:t>
            </w:r>
          </w:p>
          <w:p w14:paraId="2CF78112">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联系方式：18257708907</w:t>
            </w:r>
          </w:p>
        </w:tc>
      </w:tr>
      <w:tr w14:paraId="1976C486">
        <w:tblPrEx>
          <w:tblCellMar>
            <w:top w:w="0" w:type="dxa"/>
            <w:left w:w="108" w:type="dxa"/>
            <w:bottom w:w="0" w:type="dxa"/>
            <w:right w:w="108" w:type="dxa"/>
          </w:tblCellMar>
        </w:tblPrEx>
        <w:trPr>
          <w:trHeight w:val="685" w:hRule="atLeast"/>
        </w:trPr>
        <w:tc>
          <w:tcPr>
            <w:tcW w:w="867" w:type="dxa"/>
            <w:tcBorders>
              <w:top w:val="single" w:color="auto" w:sz="4" w:space="0"/>
              <w:left w:val="single" w:color="auto" w:sz="4" w:space="0"/>
              <w:bottom w:val="single" w:color="auto" w:sz="4" w:space="0"/>
              <w:right w:val="single" w:color="auto" w:sz="4" w:space="0"/>
            </w:tcBorders>
            <w:vAlign w:val="center"/>
          </w:tcPr>
          <w:p w14:paraId="2B5C1E55">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w:t>
            </w:r>
          </w:p>
        </w:tc>
        <w:tc>
          <w:tcPr>
            <w:tcW w:w="1560" w:type="dxa"/>
            <w:tcBorders>
              <w:top w:val="single" w:color="auto" w:sz="4" w:space="0"/>
              <w:left w:val="single" w:color="auto" w:sz="4" w:space="0"/>
              <w:bottom w:val="single" w:color="auto" w:sz="4" w:space="0"/>
              <w:right w:val="single" w:color="auto" w:sz="4" w:space="0"/>
            </w:tcBorders>
            <w:vAlign w:val="center"/>
          </w:tcPr>
          <w:p w14:paraId="0B35A5D1">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招标代理机构</w:t>
            </w:r>
          </w:p>
        </w:tc>
        <w:tc>
          <w:tcPr>
            <w:tcW w:w="6571" w:type="dxa"/>
            <w:tcBorders>
              <w:top w:val="single" w:color="auto" w:sz="4" w:space="0"/>
              <w:left w:val="single" w:color="auto" w:sz="4" w:space="0"/>
              <w:bottom w:val="single" w:color="auto" w:sz="4" w:space="0"/>
              <w:right w:val="single" w:color="auto" w:sz="4" w:space="0"/>
            </w:tcBorders>
            <w:vAlign w:val="center"/>
          </w:tcPr>
          <w:p w14:paraId="6E431DB9">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名  称：华信咨询设计研究院有限公司</w:t>
            </w:r>
          </w:p>
          <w:p w14:paraId="158C8109">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联系人：羊奕杭、尚云飞、王鑫霖</w:t>
            </w:r>
          </w:p>
          <w:p w14:paraId="70C56E29">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联系电话：15257143905、15225996022</w:t>
            </w:r>
          </w:p>
        </w:tc>
      </w:tr>
      <w:tr w14:paraId="7307E0E8">
        <w:tblPrEx>
          <w:tblCellMar>
            <w:top w:w="0" w:type="dxa"/>
            <w:left w:w="108" w:type="dxa"/>
            <w:bottom w:w="0" w:type="dxa"/>
            <w:right w:w="108" w:type="dxa"/>
          </w:tblCellMar>
        </w:tblPrEx>
        <w:trPr>
          <w:trHeight w:val="685" w:hRule="atLeast"/>
        </w:trPr>
        <w:tc>
          <w:tcPr>
            <w:tcW w:w="867" w:type="dxa"/>
            <w:tcBorders>
              <w:top w:val="single" w:color="auto" w:sz="4" w:space="0"/>
              <w:left w:val="single" w:color="auto" w:sz="4" w:space="0"/>
              <w:bottom w:val="single" w:color="auto" w:sz="4" w:space="0"/>
              <w:right w:val="single" w:color="auto" w:sz="4" w:space="0"/>
            </w:tcBorders>
            <w:vAlign w:val="center"/>
          </w:tcPr>
          <w:p w14:paraId="5EBBC36B">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3</w:t>
            </w:r>
          </w:p>
        </w:tc>
        <w:tc>
          <w:tcPr>
            <w:tcW w:w="1560" w:type="dxa"/>
            <w:tcBorders>
              <w:top w:val="single" w:color="auto" w:sz="4" w:space="0"/>
              <w:left w:val="single" w:color="auto" w:sz="4" w:space="0"/>
              <w:bottom w:val="single" w:color="auto" w:sz="4" w:space="0"/>
              <w:right w:val="single" w:color="auto" w:sz="4" w:space="0"/>
            </w:tcBorders>
            <w:vAlign w:val="center"/>
          </w:tcPr>
          <w:p w14:paraId="594A42CC">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项目名称</w:t>
            </w:r>
          </w:p>
        </w:tc>
        <w:tc>
          <w:tcPr>
            <w:tcW w:w="6571" w:type="dxa"/>
            <w:tcBorders>
              <w:top w:val="single" w:color="auto" w:sz="4" w:space="0"/>
              <w:left w:val="single" w:color="auto" w:sz="4" w:space="0"/>
              <w:bottom w:val="single" w:color="auto" w:sz="4" w:space="0"/>
              <w:right w:val="single" w:color="auto" w:sz="4" w:space="0"/>
            </w:tcBorders>
            <w:vAlign w:val="center"/>
          </w:tcPr>
          <w:p w14:paraId="2071AFC4">
            <w:pPr>
              <w:widowControl/>
              <w:spacing w:line="440" w:lineRule="exact"/>
              <w:jc w:val="left"/>
              <w:rPr>
                <w:rFonts w:ascii="宋体" w:hAnsi="宋体" w:cs="宋体"/>
                <w:bCs/>
                <w:color w:val="auto"/>
                <w:kern w:val="0"/>
                <w:sz w:val="22"/>
                <w:szCs w:val="22"/>
                <w:highlight w:val="none"/>
              </w:rPr>
            </w:pPr>
            <w:r>
              <w:rPr>
                <w:rFonts w:hint="eastAsia" w:ascii="宋体" w:hAnsi="宋体" w:cs="宋体"/>
                <w:color w:val="auto"/>
                <w:kern w:val="0"/>
                <w:sz w:val="22"/>
                <w:szCs w:val="22"/>
                <w:highlight w:val="none"/>
                <w:lang w:val="zh-CN"/>
              </w:rPr>
              <w:t>温州港乐清湾港区A区一期集装箱能力提升工程环境影响评价</w:t>
            </w:r>
          </w:p>
        </w:tc>
      </w:tr>
      <w:tr w14:paraId="49813EBE">
        <w:tblPrEx>
          <w:tblCellMar>
            <w:top w:w="0" w:type="dxa"/>
            <w:left w:w="108" w:type="dxa"/>
            <w:bottom w:w="0" w:type="dxa"/>
            <w:right w:w="108" w:type="dxa"/>
          </w:tblCellMar>
        </w:tblPrEx>
        <w:trPr>
          <w:trHeight w:val="559" w:hRule="atLeast"/>
        </w:trPr>
        <w:tc>
          <w:tcPr>
            <w:tcW w:w="867" w:type="dxa"/>
            <w:tcBorders>
              <w:top w:val="single" w:color="auto" w:sz="4" w:space="0"/>
              <w:left w:val="single" w:color="auto" w:sz="4" w:space="0"/>
              <w:bottom w:val="single" w:color="auto" w:sz="4" w:space="0"/>
              <w:right w:val="single" w:color="auto" w:sz="4" w:space="0"/>
            </w:tcBorders>
            <w:vAlign w:val="center"/>
          </w:tcPr>
          <w:p w14:paraId="14A8BD43">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4</w:t>
            </w:r>
          </w:p>
        </w:tc>
        <w:tc>
          <w:tcPr>
            <w:tcW w:w="1560" w:type="dxa"/>
            <w:tcBorders>
              <w:top w:val="single" w:color="auto" w:sz="4" w:space="0"/>
              <w:left w:val="single" w:color="auto" w:sz="4" w:space="0"/>
              <w:bottom w:val="single" w:color="auto" w:sz="4" w:space="0"/>
              <w:right w:val="single" w:color="auto" w:sz="4" w:space="0"/>
            </w:tcBorders>
            <w:vAlign w:val="center"/>
          </w:tcPr>
          <w:p w14:paraId="7AF9DA48">
            <w:pPr>
              <w:widowControl/>
              <w:spacing w:line="440" w:lineRule="exact"/>
              <w:jc w:val="left"/>
              <w:rPr>
                <w:rFonts w:hint="default" w:ascii="宋体" w:hAnsi="宋体" w:eastAsia="宋体" w:cs="宋体"/>
                <w:bCs/>
                <w:color w:val="auto"/>
                <w:kern w:val="0"/>
                <w:sz w:val="22"/>
                <w:szCs w:val="22"/>
                <w:highlight w:val="none"/>
                <w:lang w:val="en-US" w:eastAsia="zh-CN"/>
              </w:rPr>
            </w:pPr>
            <w:r>
              <w:rPr>
                <w:rFonts w:hint="eastAsia" w:ascii="宋体" w:hAnsi="宋体" w:cs="宋体"/>
                <w:bCs/>
                <w:color w:val="auto"/>
                <w:kern w:val="0"/>
                <w:sz w:val="22"/>
                <w:szCs w:val="22"/>
                <w:highlight w:val="none"/>
                <w:lang w:val="en-US" w:eastAsia="zh-CN"/>
              </w:rPr>
              <w:t>项目概况</w:t>
            </w:r>
          </w:p>
        </w:tc>
        <w:tc>
          <w:tcPr>
            <w:tcW w:w="6571" w:type="dxa"/>
            <w:tcBorders>
              <w:top w:val="single" w:color="auto" w:sz="4" w:space="0"/>
              <w:left w:val="single" w:color="auto" w:sz="4" w:space="0"/>
              <w:bottom w:val="single" w:color="auto" w:sz="4" w:space="0"/>
              <w:right w:val="single" w:color="auto" w:sz="4" w:space="0"/>
            </w:tcBorders>
            <w:vAlign w:val="center"/>
          </w:tcPr>
          <w:p w14:paraId="2F30CA53">
            <w:pPr>
              <w:pStyle w:val="2"/>
              <w:spacing w:after="0" w:line="440" w:lineRule="exact"/>
              <w:ind w:firstLine="0" w:firstLineChars="0"/>
              <w:jc w:val="left"/>
              <w:rPr>
                <w:rFonts w:ascii="宋体" w:hAnsi="宋体" w:cs="宋体"/>
                <w:b/>
                <w:color w:val="auto"/>
                <w:kern w:val="2"/>
                <w:sz w:val="22"/>
                <w:szCs w:val="22"/>
                <w:highlight w:val="none"/>
              </w:rPr>
            </w:pPr>
            <w:r>
              <w:rPr>
                <w:rFonts w:hint="eastAsia" w:ascii="宋体" w:hAnsi="宋体" w:cs="宋体"/>
                <w:b w:val="0"/>
                <w:bCs/>
                <w:color w:val="auto"/>
                <w:kern w:val="2"/>
                <w:sz w:val="22"/>
                <w:szCs w:val="22"/>
                <w:highlight w:val="none"/>
              </w:rPr>
              <w:t>本项目为</w:t>
            </w:r>
            <w:r>
              <w:rPr>
                <w:rFonts w:hint="eastAsia" w:ascii="宋体" w:hAnsi="宋体" w:cs="宋体"/>
                <w:b w:val="0"/>
                <w:bCs/>
                <w:color w:val="auto"/>
                <w:kern w:val="2"/>
                <w:sz w:val="22"/>
                <w:szCs w:val="22"/>
                <w:highlight w:val="none"/>
                <w:lang w:eastAsia="zh-CN"/>
              </w:rPr>
              <w:t>温州港乐清湾港区A区一期集装箱能力提升工程环境影响评价</w:t>
            </w:r>
            <w:r>
              <w:rPr>
                <w:rFonts w:hint="eastAsia" w:ascii="宋体" w:hAnsi="宋体" w:cs="宋体"/>
                <w:b w:val="0"/>
                <w:bCs/>
                <w:color w:val="auto"/>
                <w:kern w:val="2"/>
                <w:sz w:val="22"/>
                <w:szCs w:val="22"/>
                <w:highlight w:val="none"/>
              </w:rPr>
              <w:t>项目，主要服务内容包括但不限于</w:t>
            </w:r>
            <w:r>
              <w:rPr>
                <w:rFonts w:hint="eastAsia" w:ascii="宋体" w:hAnsi="宋体" w:cs="宋体"/>
                <w:b w:val="0"/>
                <w:bCs/>
                <w:color w:val="auto"/>
                <w:kern w:val="2"/>
                <w:sz w:val="22"/>
                <w:szCs w:val="22"/>
                <w:highlight w:val="none"/>
                <w:lang w:eastAsia="zh-CN"/>
              </w:rPr>
              <w:t>：</w:t>
            </w:r>
            <w:r>
              <w:rPr>
                <w:rFonts w:hint="eastAsia" w:ascii="宋体" w:hAnsi="宋体" w:cs="宋体"/>
                <w:b w:val="0"/>
                <w:bCs/>
                <w:color w:val="auto"/>
                <w:kern w:val="2"/>
                <w:sz w:val="22"/>
                <w:szCs w:val="22"/>
                <w:highlight w:val="none"/>
              </w:rPr>
              <w:t>（1）严格依据国家和地方相关的技术规范等，开展</w:t>
            </w:r>
            <w:r>
              <w:rPr>
                <w:rFonts w:hint="eastAsia" w:ascii="宋体" w:hAnsi="宋体" w:cs="宋体"/>
                <w:b w:val="0"/>
                <w:bCs/>
                <w:color w:val="auto"/>
                <w:kern w:val="2"/>
                <w:sz w:val="22"/>
                <w:szCs w:val="22"/>
                <w:highlight w:val="none"/>
                <w:lang w:eastAsia="zh-CN"/>
              </w:rPr>
              <w:t>温州港乐清湾港区A区一期集装箱能力提升工程环境影响评价</w:t>
            </w:r>
            <w:r>
              <w:rPr>
                <w:rFonts w:hint="eastAsia" w:ascii="宋体" w:hAnsi="宋体" w:cs="宋体"/>
                <w:b w:val="0"/>
                <w:bCs/>
                <w:color w:val="auto"/>
                <w:kern w:val="2"/>
                <w:sz w:val="22"/>
                <w:szCs w:val="22"/>
                <w:highlight w:val="none"/>
                <w:lang w:val="en-US" w:eastAsia="zh-CN"/>
              </w:rPr>
              <w:t>工作</w:t>
            </w:r>
            <w:r>
              <w:rPr>
                <w:rFonts w:hint="eastAsia" w:ascii="宋体" w:hAnsi="宋体" w:cs="宋体"/>
                <w:b w:val="0"/>
                <w:bCs/>
                <w:color w:val="auto"/>
                <w:kern w:val="2"/>
                <w:sz w:val="22"/>
                <w:szCs w:val="22"/>
                <w:highlight w:val="none"/>
              </w:rPr>
              <w:t>，</w:t>
            </w:r>
            <w:r>
              <w:rPr>
                <w:rFonts w:hint="eastAsia" w:ascii="宋体" w:hAnsi="宋体" w:cs="宋体"/>
                <w:b w:val="0"/>
                <w:bCs/>
                <w:color w:val="auto"/>
                <w:kern w:val="2"/>
                <w:sz w:val="22"/>
                <w:szCs w:val="22"/>
                <w:highlight w:val="none"/>
                <w:lang w:val="en-US" w:eastAsia="zh-CN"/>
              </w:rPr>
              <w:t>含</w:t>
            </w:r>
            <w:r>
              <w:rPr>
                <w:rFonts w:hint="eastAsia" w:ascii="宋体" w:hAnsi="宋体" w:cs="宋体"/>
                <w:b w:val="0"/>
                <w:bCs/>
                <w:color w:val="auto"/>
                <w:kern w:val="2"/>
                <w:sz w:val="22"/>
                <w:szCs w:val="22"/>
                <w:highlight w:val="none"/>
              </w:rPr>
              <w:t>环境现状资料调查或收集、海洋调查（现状监测）、环境影响报告书编制、数值模拟预测专题、陆域环境监测；（2）编制的环境影响报告书通过专家审查，协助招标人取得</w:t>
            </w:r>
            <w:r>
              <w:rPr>
                <w:rFonts w:hint="eastAsia" w:ascii="宋体" w:hAnsi="宋体" w:cs="宋体"/>
                <w:b w:val="0"/>
                <w:bCs/>
                <w:color w:val="auto"/>
                <w:kern w:val="2"/>
                <w:sz w:val="22"/>
                <w:szCs w:val="22"/>
                <w:highlight w:val="none"/>
                <w:lang w:val="en-US" w:eastAsia="zh-CN"/>
              </w:rPr>
              <w:t>生态环境主管部门出具的</w:t>
            </w:r>
            <w:r>
              <w:rPr>
                <w:rFonts w:hint="eastAsia" w:ascii="宋体" w:hAnsi="宋体" w:cs="宋体"/>
                <w:b w:val="0"/>
                <w:bCs/>
                <w:color w:val="auto"/>
                <w:kern w:val="2"/>
                <w:sz w:val="22"/>
                <w:szCs w:val="22"/>
                <w:highlight w:val="none"/>
              </w:rPr>
              <w:t>环境影响审批意见。具体</w:t>
            </w:r>
            <w:r>
              <w:rPr>
                <w:rFonts w:hint="eastAsia" w:ascii="宋体" w:hAnsi="宋体" w:cs="宋体"/>
                <w:b w:val="0"/>
                <w:bCs/>
                <w:color w:val="auto"/>
                <w:kern w:val="2"/>
                <w:sz w:val="22"/>
                <w:szCs w:val="22"/>
                <w:highlight w:val="none"/>
                <w:lang w:val="en-US" w:eastAsia="zh-CN"/>
              </w:rPr>
              <w:t>服务内容及要求</w:t>
            </w:r>
            <w:r>
              <w:rPr>
                <w:rFonts w:hint="eastAsia" w:ascii="宋体" w:hAnsi="宋体" w:cs="宋体"/>
                <w:b w:val="0"/>
                <w:bCs/>
                <w:color w:val="auto"/>
                <w:kern w:val="2"/>
                <w:sz w:val="22"/>
                <w:szCs w:val="22"/>
                <w:highlight w:val="none"/>
              </w:rPr>
              <w:t>详见招标文件第二章</w:t>
            </w:r>
            <w:r>
              <w:rPr>
                <w:rFonts w:hint="eastAsia" w:ascii="宋体" w:hAnsi="宋体" w:cs="宋体"/>
                <w:b w:val="0"/>
                <w:bCs/>
                <w:color w:val="auto"/>
                <w:kern w:val="2"/>
                <w:sz w:val="22"/>
                <w:szCs w:val="22"/>
                <w:highlight w:val="none"/>
                <w:lang w:eastAsia="zh-CN"/>
              </w:rPr>
              <w:t>“</w:t>
            </w:r>
            <w:r>
              <w:rPr>
                <w:rFonts w:hint="eastAsia" w:ascii="宋体" w:hAnsi="宋体" w:cs="宋体"/>
                <w:b w:val="0"/>
                <w:bCs/>
                <w:color w:val="auto"/>
                <w:kern w:val="2"/>
                <w:sz w:val="22"/>
                <w:szCs w:val="22"/>
                <w:highlight w:val="none"/>
              </w:rPr>
              <w:t>招标需求</w:t>
            </w:r>
            <w:r>
              <w:rPr>
                <w:rFonts w:hint="eastAsia" w:ascii="宋体" w:hAnsi="宋体" w:cs="宋体"/>
                <w:b w:val="0"/>
                <w:bCs/>
                <w:color w:val="auto"/>
                <w:kern w:val="2"/>
                <w:sz w:val="22"/>
                <w:szCs w:val="22"/>
                <w:highlight w:val="none"/>
                <w:lang w:eastAsia="zh-CN"/>
              </w:rPr>
              <w:t>”</w:t>
            </w:r>
            <w:r>
              <w:rPr>
                <w:rFonts w:hint="eastAsia" w:ascii="宋体" w:hAnsi="宋体" w:cs="宋体"/>
                <w:b w:val="0"/>
                <w:bCs/>
                <w:color w:val="auto"/>
                <w:kern w:val="2"/>
                <w:sz w:val="22"/>
                <w:szCs w:val="22"/>
                <w:highlight w:val="none"/>
              </w:rPr>
              <w:t>。</w:t>
            </w:r>
          </w:p>
        </w:tc>
      </w:tr>
      <w:tr w14:paraId="083475FF">
        <w:tblPrEx>
          <w:tblCellMar>
            <w:top w:w="0" w:type="dxa"/>
            <w:left w:w="108" w:type="dxa"/>
            <w:bottom w:w="0" w:type="dxa"/>
            <w:right w:w="108" w:type="dxa"/>
          </w:tblCellMar>
        </w:tblPrEx>
        <w:trPr>
          <w:trHeight w:val="830" w:hRule="atLeast"/>
        </w:trPr>
        <w:tc>
          <w:tcPr>
            <w:tcW w:w="867" w:type="dxa"/>
            <w:tcBorders>
              <w:top w:val="single" w:color="auto" w:sz="4" w:space="0"/>
              <w:left w:val="single" w:color="auto" w:sz="4" w:space="0"/>
              <w:bottom w:val="single" w:color="auto" w:sz="4" w:space="0"/>
              <w:right w:val="single" w:color="auto" w:sz="4" w:space="0"/>
            </w:tcBorders>
            <w:vAlign w:val="center"/>
          </w:tcPr>
          <w:p w14:paraId="5EB76DED">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5</w:t>
            </w:r>
          </w:p>
        </w:tc>
        <w:tc>
          <w:tcPr>
            <w:tcW w:w="1560" w:type="dxa"/>
            <w:tcBorders>
              <w:top w:val="single" w:color="auto" w:sz="4" w:space="0"/>
              <w:left w:val="single" w:color="auto" w:sz="4" w:space="0"/>
              <w:bottom w:val="single" w:color="auto" w:sz="4" w:space="0"/>
              <w:right w:val="single" w:color="auto" w:sz="4" w:space="0"/>
            </w:tcBorders>
            <w:vAlign w:val="center"/>
          </w:tcPr>
          <w:p w14:paraId="7C227775">
            <w:pPr>
              <w:widowControl/>
              <w:spacing w:line="440" w:lineRule="exact"/>
              <w:jc w:val="left"/>
              <w:rPr>
                <w:rFonts w:ascii="宋体" w:hAnsi="宋体" w:cs="宋体"/>
                <w:bCs/>
                <w:color w:val="auto"/>
                <w:kern w:val="0"/>
                <w:sz w:val="22"/>
                <w:szCs w:val="22"/>
                <w:highlight w:val="none"/>
              </w:rPr>
            </w:pPr>
            <w:r>
              <w:rPr>
                <w:rFonts w:hint="eastAsia" w:ascii="宋体" w:hAnsi="宋体" w:cs="宋体"/>
                <w:b/>
                <w:color w:val="auto"/>
                <w:sz w:val="22"/>
                <w:szCs w:val="22"/>
                <w:highlight w:val="none"/>
              </w:rPr>
              <w:t>★</w:t>
            </w:r>
            <w:r>
              <w:rPr>
                <w:rFonts w:hint="eastAsia" w:ascii="宋体" w:hAnsi="宋体" w:cs="宋体"/>
                <w:bCs/>
                <w:color w:val="auto"/>
                <w:kern w:val="0"/>
                <w:sz w:val="22"/>
                <w:szCs w:val="22"/>
                <w:highlight w:val="none"/>
              </w:rPr>
              <w:t>最高限价</w:t>
            </w:r>
          </w:p>
        </w:tc>
        <w:tc>
          <w:tcPr>
            <w:tcW w:w="6571" w:type="dxa"/>
            <w:tcBorders>
              <w:top w:val="single" w:color="auto" w:sz="4" w:space="0"/>
              <w:left w:val="single" w:color="auto" w:sz="4" w:space="0"/>
              <w:bottom w:val="single" w:color="auto" w:sz="4" w:space="0"/>
              <w:right w:val="single" w:color="auto" w:sz="4" w:space="0"/>
            </w:tcBorders>
            <w:vAlign w:val="center"/>
          </w:tcPr>
          <w:p w14:paraId="1F0D5826">
            <w:pPr>
              <w:spacing w:line="440" w:lineRule="exact"/>
              <w:jc w:val="left"/>
              <w:rPr>
                <w:rFonts w:ascii="宋体" w:hAnsi="宋体" w:cs="宋体"/>
                <w:b/>
                <w:color w:val="auto"/>
                <w:kern w:val="0"/>
                <w:sz w:val="22"/>
                <w:szCs w:val="22"/>
                <w:highlight w:val="none"/>
                <w:u w:val="single"/>
              </w:rPr>
            </w:pPr>
            <w:r>
              <w:rPr>
                <w:rFonts w:hint="eastAsia" w:ascii="宋体" w:hAnsi="宋体" w:cs="宋体"/>
                <w:bCs/>
                <w:color w:val="auto"/>
                <w:kern w:val="0"/>
                <w:sz w:val="22"/>
                <w:szCs w:val="22"/>
                <w:highlight w:val="none"/>
              </w:rPr>
              <w:t>55万元（人民币）。</w:t>
            </w:r>
          </w:p>
        </w:tc>
      </w:tr>
      <w:tr w14:paraId="4CDEDD55">
        <w:tblPrEx>
          <w:tblCellMar>
            <w:top w:w="0" w:type="dxa"/>
            <w:left w:w="108" w:type="dxa"/>
            <w:bottom w:w="0" w:type="dxa"/>
            <w:right w:w="108" w:type="dxa"/>
          </w:tblCellMar>
        </w:tblPrEx>
        <w:trPr>
          <w:trHeight w:val="648" w:hRule="atLeast"/>
        </w:trPr>
        <w:tc>
          <w:tcPr>
            <w:tcW w:w="867" w:type="dxa"/>
            <w:tcBorders>
              <w:top w:val="single" w:color="auto" w:sz="4" w:space="0"/>
              <w:left w:val="single" w:color="auto" w:sz="4" w:space="0"/>
              <w:bottom w:val="single" w:color="auto" w:sz="4" w:space="0"/>
              <w:right w:val="single" w:color="auto" w:sz="4" w:space="0"/>
            </w:tcBorders>
            <w:vAlign w:val="center"/>
          </w:tcPr>
          <w:p w14:paraId="65BE4443">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6</w:t>
            </w:r>
          </w:p>
        </w:tc>
        <w:tc>
          <w:tcPr>
            <w:tcW w:w="1560" w:type="dxa"/>
            <w:tcBorders>
              <w:top w:val="single" w:color="auto" w:sz="4" w:space="0"/>
              <w:left w:val="single" w:color="auto" w:sz="4" w:space="0"/>
              <w:bottom w:val="single" w:color="auto" w:sz="4" w:space="0"/>
              <w:right w:val="single" w:color="auto" w:sz="4" w:space="0"/>
            </w:tcBorders>
            <w:vAlign w:val="center"/>
          </w:tcPr>
          <w:p w14:paraId="12CD34BA">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服务期限</w:t>
            </w:r>
          </w:p>
        </w:tc>
        <w:tc>
          <w:tcPr>
            <w:tcW w:w="6571" w:type="dxa"/>
            <w:tcBorders>
              <w:top w:val="single" w:color="auto" w:sz="4" w:space="0"/>
              <w:left w:val="single" w:color="auto" w:sz="4" w:space="0"/>
              <w:bottom w:val="single" w:color="auto" w:sz="4" w:space="0"/>
              <w:right w:val="single" w:color="auto" w:sz="4" w:space="0"/>
            </w:tcBorders>
            <w:vAlign w:val="center"/>
          </w:tcPr>
          <w:p w14:paraId="65C4C990">
            <w:pPr>
              <w:spacing w:line="440" w:lineRule="exact"/>
              <w:jc w:val="left"/>
              <w:rPr>
                <w:rFonts w:ascii="宋体" w:hAnsi="宋体" w:cs="宋体"/>
                <w:color w:val="auto"/>
                <w:sz w:val="22"/>
                <w:szCs w:val="22"/>
                <w:highlight w:val="none"/>
              </w:rPr>
            </w:pPr>
            <w:r>
              <w:rPr>
                <w:rFonts w:hint="eastAsia" w:ascii="宋体" w:hAnsi="宋体"/>
                <w:color w:val="auto"/>
                <w:sz w:val="22"/>
                <w:szCs w:val="22"/>
                <w:highlight w:val="none"/>
                <w:lang w:val="zh-CN" w:eastAsia="zh-CN"/>
              </w:rPr>
              <w:t>合同签订后60天内提交环境影响报告书送审稿，送审稿经过专家评审及公示结束后7天内提交报批稿，并协助招标人完成相关报批工作。报批稿经主管部门审批同意后，中标人免费提供后续技术服务支持直至工程竣工，具体服务时间根据招标人实际工作安排确定</w:t>
            </w:r>
            <w:r>
              <w:rPr>
                <w:rFonts w:hint="eastAsia" w:ascii="宋体" w:hAnsi="宋体"/>
                <w:color w:val="auto"/>
                <w:sz w:val="22"/>
                <w:szCs w:val="22"/>
                <w:highlight w:val="none"/>
              </w:rPr>
              <w:t>。</w:t>
            </w:r>
          </w:p>
        </w:tc>
      </w:tr>
      <w:tr w14:paraId="01386153">
        <w:tblPrEx>
          <w:tblCellMar>
            <w:top w:w="0" w:type="dxa"/>
            <w:left w:w="108" w:type="dxa"/>
            <w:bottom w:w="0" w:type="dxa"/>
            <w:right w:w="108" w:type="dxa"/>
          </w:tblCellMar>
        </w:tblPrEx>
        <w:trPr>
          <w:trHeight w:val="548" w:hRule="atLeast"/>
        </w:trPr>
        <w:tc>
          <w:tcPr>
            <w:tcW w:w="867" w:type="dxa"/>
            <w:tcBorders>
              <w:top w:val="single" w:color="auto" w:sz="4" w:space="0"/>
              <w:left w:val="single" w:color="auto" w:sz="4" w:space="0"/>
              <w:bottom w:val="single" w:color="auto" w:sz="4" w:space="0"/>
              <w:right w:val="single" w:color="auto" w:sz="4" w:space="0"/>
            </w:tcBorders>
            <w:vAlign w:val="center"/>
          </w:tcPr>
          <w:p w14:paraId="6230F47B">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7</w:t>
            </w:r>
          </w:p>
        </w:tc>
        <w:tc>
          <w:tcPr>
            <w:tcW w:w="1560" w:type="dxa"/>
            <w:tcBorders>
              <w:top w:val="single" w:color="auto" w:sz="4" w:space="0"/>
              <w:left w:val="single" w:color="auto" w:sz="4" w:space="0"/>
              <w:bottom w:val="single" w:color="auto" w:sz="4" w:space="0"/>
              <w:right w:val="single" w:color="auto" w:sz="4" w:space="0"/>
            </w:tcBorders>
            <w:vAlign w:val="center"/>
          </w:tcPr>
          <w:p w14:paraId="72F1FDA0">
            <w:pPr>
              <w:widowControl/>
              <w:spacing w:line="440" w:lineRule="exact"/>
              <w:jc w:val="left"/>
              <w:rPr>
                <w:rFonts w:ascii="宋体" w:hAnsi="宋体" w:cs="宋体"/>
                <w:b/>
                <w:bCs/>
                <w:color w:val="auto"/>
                <w:kern w:val="0"/>
                <w:sz w:val="22"/>
                <w:szCs w:val="22"/>
                <w:highlight w:val="none"/>
              </w:rPr>
            </w:pPr>
            <w:r>
              <w:rPr>
                <w:rFonts w:hint="eastAsia" w:ascii="宋体" w:hAnsi="宋体" w:cs="宋体"/>
                <w:b/>
                <w:color w:val="auto"/>
                <w:sz w:val="22"/>
                <w:szCs w:val="22"/>
                <w:highlight w:val="none"/>
              </w:rPr>
              <w:t>★</w:t>
            </w:r>
            <w:r>
              <w:rPr>
                <w:rFonts w:hint="eastAsia" w:ascii="宋体" w:hAnsi="宋体" w:cs="宋体"/>
                <w:b/>
                <w:bCs/>
                <w:color w:val="auto"/>
                <w:kern w:val="0"/>
                <w:sz w:val="22"/>
                <w:szCs w:val="22"/>
                <w:highlight w:val="none"/>
              </w:rPr>
              <w:t>投标人资质要求</w:t>
            </w:r>
          </w:p>
        </w:tc>
        <w:tc>
          <w:tcPr>
            <w:tcW w:w="6571" w:type="dxa"/>
            <w:tcBorders>
              <w:top w:val="single" w:color="auto" w:sz="4" w:space="0"/>
              <w:left w:val="single" w:color="auto" w:sz="4" w:space="0"/>
              <w:bottom w:val="single" w:color="auto" w:sz="4" w:space="0"/>
              <w:right w:val="single" w:color="auto" w:sz="4" w:space="0"/>
            </w:tcBorders>
            <w:vAlign w:val="center"/>
          </w:tcPr>
          <w:p w14:paraId="300D7A65">
            <w:pPr>
              <w:pStyle w:val="71"/>
              <w:spacing w:line="440" w:lineRule="exact"/>
              <w:ind w:right="-78" w:rightChars="-37" w:firstLine="0" w:firstLineChars="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同招标公告</w:t>
            </w:r>
          </w:p>
        </w:tc>
      </w:tr>
      <w:tr w14:paraId="628ADABC">
        <w:tblPrEx>
          <w:tblCellMar>
            <w:top w:w="0" w:type="dxa"/>
            <w:left w:w="108" w:type="dxa"/>
            <w:bottom w:w="0" w:type="dxa"/>
            <w:right w:w="108" w:type="dxa"/>
          </w:tblCellMar>
        </w:tblPrEx>
        <w:trPr>
          <w:trHeight w:val="981" w:hRule="atLeast"/>
        </w:trPr>
        <w:tc>
          <w:tcPr>
            <w:tcW w:w="867" w:type="dxa"/>
            <w:tcBorders>
              <w:top w:val="single" w:color="auto" w:sz="4" w:space="0"/>
              <w:left w:val="single" w:color="auto" w:sz="4" w:space="0"/>
              <w:bottom w:val="single" w:color="auto" w:sz="4" w:space="0"/>
              <w:right w:val="single" w:color="auto" w:sz="4" w:space="0"/>
            </w:tcBorders>
            <w:vAlign w:val="center"/>
          </w:tcPr>
          <w:p w14:paraId="79E36CF4">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8</w:t>
            </w:r>
          </w:p>
        </w:tc>
        <w:tc>
          <w:tcPr>
            <w:tcW w:w="1560" w:type="dxa"/>
            <w:tcBorders>
              <w:top w:val="single" w:color="auto" w:sz="4" w:space="0"/>
              <w:left w:val="single" w:color="auto" w:sz="4" w:space="0"/>
              <w:bottom w:val="single" w:color="auto" w:sz="4" w:space="0"/>
              <w:right w:val="single" w:color="auto" w:sz="4" w:space="0"/>
            </w:tcBorders>
            <w:vAlign w:val="center"/>
          </w:tcPr>
          <w:p w14:paraId="01E2F149">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是否接受联合体投标</w:t>
            </w:r>
          </w:p>
        </w:tc>
        <w:tc>
          <w:tcPr>
            <w:tcW w:w="6571" w:type="dxa"/>
            <w:tcBorders>
              <w:top w:val="single" w:color="auto" w:sz="4" w:space="0"/>
              <w:left w:val="single" w:color="auto" w:sz="4" w:space="0"/>
              <w:bottom w:val="single" w:color="auto" w:sz="4" w:space="0"/>
              <w:right w:val="single" w:color="auto" w:sz="4" w:space="0"/>
            </w:tcBorders>
            <w:vAlign w:val="center"/>
          </w:tcPr>
          <w:p w14:paraId="5D89A1F4">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不接受</w:t>
            </w:r>
          </w:p>
        </w:tc>
      </w:tr>
      <w:tr w14:paraId="03A59712">
        <w:tblPrEx>
          <w:tblCellMar>
            <w:top w:w="0" w:type="dxa"/>
            <w:left w:w="108" w:type="dxa"/>
            <w:bottom w:w="0" w:type="dxa"/>
            <w:right w:w="108" w:type="dxa"/>
          </w:tblCellMar>
        </w:tblPrEx>
        <w:trPr>
          <w:trHeight w:val="708" w:hRule="atLeast"/>
        </w:trPr>
        <w:tc>
          <w:tcPr>
            <w:tcW w:w="867" w:type="dxa"/>
            <w:tcBorders>
              <w:top w:val="single" w:color="auto" w:sz="4" w:space="0"/>
              <w:left w:val="single" w:color="auto" w:sz="4" w:space="0"/>
              <w:bottom w:val="single" w:color="auto" w:sz="4" w:space="0"/>
              <w:right w:val="single" w:color="auto" w:sz="4" w:space="0"/>
            </w:tcBorders>
            <w:vAlign w:val="center"/>
          </w:tcPr>
          <w:p w14:paraId="6C538FD4">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9</w:t>
            </w:r>
          </w:p>
        </w:tc>
        <w:tc>
          <w:tcPr>
            <w:tcW w:w="1560" w:type="dxa"/>
            <w:tcBorders>
              <w:top w:val="single" w:color="auto" w:sz="4" w:space="0"/>
              <w:left w:val="single" w:color="auto" w:sz="4" w:space="0"/>
              <w:bottom w:val="single" w:color="auto" w:sz="4" w:space="0"/>
              <w:right w:val="single" w:color="auto" w:sz="4" w:space="0"/>
            </w:tcBorders>
            <w:vAlign w:val="center"/>
          </w:tcPr>
          <w:p w14:paraId="1F8C4266">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踏勘现场</w:t>
            </w:r>
          </w:p>
        </w:tc>
        <w:tc>
          <w:tcPr>
            <w:tcW w:w="6571" w:type="dxa"/>
            <w:tcBorders>
              <w:top w:val="single" w:color="auto" w:sz="4" w:space="0"/>
              <w:left w:val="single" w:color="auto" w:sz="4" w:space="0"/>
              <w:bottom w:val="single" w:color="auto" w:sz="4" w:space="0"/>
              <w:right w:val="single" w:color="auto" w:sz="4" w:space="0"/>
            </w:tcBorders>
            <w:vAlign w:val="center"/>
          </w:tcPr>
          <w:p w14:paraId="1D5F9418">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不组织，自行前往，产生的费用由投标人自行承担。</w:t>
            </w:r>
          </w:p>
        </w:tc>
      </w:tr>
      <w:tr w14:paraId="032ECEDD">
        <w:tblPrEx>
          <w:tblCellMar>
            <w:top w:w="0" w:type="dxa"/>
            <w:left w:w="108" w:type="dxa"/>
            <w:bottom w:w="0" w:type="dxa"/>
            <w:right w:w="108" w:type="dxa"/>
          </w:tblCellMar>
        </w:tblPrEx>
        <w:trPr>
          <w:trHeight w:val="734" w:hRule="atLeast"/>
        </w:trPr>
        <w:tc>
          <w:tcPr>
            <w:tcW w:w="867" w:type="dxa"/>
            <w:tcBorders>
              <w:top w:val="single" w:color="auto" w:sz="4" w:space="0"/>
              <w:left w:val="single" w:color="auto" w:sz="4" w:space="0"/>
              <w:bottom w:val="single" w:color="auto" w:sz="4" w:space="0"/>
              <w:right w:val="single" w:color="auto" w:sz="4" w:space="0"/>
            </w:tcBorders>
            <w:vAlign w:val="center"/>
          </w:tcPr>
          <w:p w14:paraId="64078A91">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10</w:t>
            </w:r>
          </w:p>
        </w:tc>
        <w:tc>
          <w:tcPr>
            <w:tcW w:w="1560" w:type="dxa"/>
            <w:tcBorders>
              <w:top w:val="single" w:color="auto" w:sz="4" w:space="0"/>
              <w:left w:val="single" w:color="auto" w:sz="4" w:space="0"/>
              <w:bottom w:val="single" w:color="auto" w:sz="4" w:space="0"/>
              <w:right w:val="single" w:color="auto" w:sz="4" w:space="0"/>
            </w:tcBorders>
            <w:vAlign w:val="center"/>
          </w:tcPr>
          <w:p w14:paraId="2B3D5E29">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投标预备会</w:t>
            </w:r>
          </w:p>
        </w:tc>
        <w:tc>
          <w:tcPr>
            <w:tcW w:w="6571" w:type="dxa"/>
            <w:tcBorders>
              <w:top w:val="single" w:color="auto" w:sz="4" w:space="0"/>
              <w:left w:val="single" w:color="auto" w:sz="4" w:space="0"/>
              <w:bottom w:val="single" w:color="auto" w:sz="4" w:space="0"/>
              <w:right w:val="single" w:color="auto" w:sz="4" w:space="0"/>
            </w:tcBorders>
            <w:vAlign w:val="center"/>
          </w:tcPr>
          <w:p w14:paraId="53A84F9A">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不召开</w:t>
            </w:r>
          </w:p>
        </w:tc>
      </w:tr>
      <w:tr w14:paraId="09DCB27A">
        <w:tblPrEx>
          <w:tblCellMar>
            <w:top w:w="0" w:type="dxa"/>
            <w:left w:w="108" w:type="dxa"/>
            <w:bottom w:w="0" w:type="dxa"/>
            <w:right w:w="108" w:type="dxa"/>
          </w:tblCellMar>
        </w:tblPrEx>
        <w:trPr>
          <w:trHeight w:val="540" w:hRule="atLeast"/>
        </w:trPr>
        <w:tc>
          <w:tcPr>
            <w:tcW w:w="867" w:type="dxa"/>
            <w:tcBorders>
              <w:top w:val="single" w:color="auto" w:sz="4" w:space="0"/>
              <w:left w:val="single" w:color="auto" w:sz="4" w:space="0"/>
              <w:bottom w:val="single" w:color="auto" w:sz="4" w:space="0"/>
              <w:right w:val="single" w:color="auto" w:sz="4" w:space="0"/>
            </w:tcBorders>
            <w:vAlign w:val="center"/>
          </w:tcPr>
          <w:p w14:paraId="78C1A12E">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11</w:t>
            </w:r>
          </w:p>
        </w:tc>
        <w:tc>
          <w:tcPr>
            <w:tcW w:w="1560" w:type="dxa"/>
            <w:tcBorders>
              <w:top w:val="single" w:color="auto" w:sz="4" w:space="0"/>
              <w:left w:val="single" w:color="auto" w:sz="4" w:space="0"/>
              <w:bottom w:val="single" w:color="auto" w:sz="4" w:space="0"/>
              <w:right w:val="single" w:color="auto" w:sz="4" w:space="0"/>
            </w:tcBorders>
            <w:vAlign w:val="center"/>
          </w:tcPr>
          <w:p w14:paraId="41BB19AE">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分包</w:t>
            </w:r>
          </w:p>
        </w:tc>
        <w:tc>
          <w:tcPr>
            <w:tcW w:w="6571" w:type="dxa"/>
            <w:tcBorders>
              <w:top w:val="single" w:color="auto" w:sz="4" w:space="0"/>
              <w:left w:val="single" w:color="auto" w:sz="4" w:space="0"/>
              <w:bottom w:val="single" w:color="auto" w:sz="4" w:space="0"/>
              <w:right w:val="single" w:color="auto" w:sz="4" w:space="0"/>
            </w:tcBorders>
            <w:vAlign w:val="center"/>
          </w:tcPr>
          <w:p w14:paraId="24CBBBA9">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不允许</w:t>
            </w:r>
          </w:p>
        </w:tc>
      </w:tr>
      <w:tr w14:paraId="50A30E7C">
        <w:tblPrEx>
          <w:tblCellMar>
            <w:top w:w="0" w:type="dxa"/>
            <w:left w:w="108" w:type="dxa"/>
            <w:bottom w:w="0" w:type="dxa"/>
            <w:right w:w="108" w:type="dxa"/>
          </w:tblCellMar>
        </w:tblPrEx>
        <w:trPr>
          <w:trHeight w:val="857" w:hRule="atLeast"/>
        </w:trPr>
        <w:tc>
          <w:tcPr>
            <w:tcW w:w="867" w:type="dxa"/>
            <w:tcBorders>
              <w:top w:val="single" w:color="auto" w:sz="4" w:space="0"/>
              <w:left w:val="single" w:color="auto" w:sz="4" w:space="0"/>
              <w:bottom w:val="single" w:color="auto" w:sz="4" w:space="0"/>
              <w:right w:val="single" w:color="auto" w:sz="4" w:space="0"/>
            </w:tcBorders>
            <w:vAlign w:val="center"/>
          </w:tcPr>
          <w:p w14:paraId="1B19450D">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12</w:t>
            </w:r>
          </w:p>
        </w:tc>
        <w:tc>
          <w:tcPr>
            <w:tcW w:w="1560" w:type="dxa"/>
            <w:tcBorders>
              <w:top w:val="single" w:color="auto" w:sz="4" w:space="0"/>
              <w:left w:val="single" w:color="auto" w:sz="4" w:space="0"/>
              <w:bottom w:val="single" w:color="auto" w:sz="4" w:space="0"/>
              <w:right w:val="single" w:color="auto" w:sz="4" w:space="0"/>
            </w:tcBorders>
            <w:vAlign w:val="center"/>
          </w:tcPr>
          <w:p w14:paraId="5B8A9181">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偏离</w:t>
            </w:r>
          </w:p>
        </w:tc>
        <w:tc>
          <w:tcPr>
            <w:tcW w:w="6571" w:type="dxa"/>
            <w:tcBorders>
              <w:top w:val="single" w:color="auto" w:sz="4" w:space="0"/>
              <w:left w:val="single" w:color="auto" w:sz="4" w:space="0"/>
              <w:bottom w:val="single" w:color="auto" w:sz="4" w:space="0"/>
              <w:right w:val="single" w:color="auto" w:sz="4" w:space="0"/>
            </w:tcBorders>
            <w:vAlign w:val="center"/>
          </w:tcPr>
          <w:p w14:paraId="33A49156">
            <w:pPr>
              <w:widowControl/>
              <w:spacing w:line="440" w:lineRule="exact"/>
              <w:ind w:left="-1" w:leftChars="-1" w:hanging="1"/>
              <w:jc w:val="left"/>
              <w:rPr>
                <w:rFonts w:ascii="宋体" w:hAnsi="宋体" w:cs="宋体"/>
                <w:bCs/>
                <w:color w:val="auto"/>
                <w:kern w:val="0"/>
                <w:sz w:val="22"/>
                <w:szCs w:val="22"/>
                <w:highlight w:val="none"/>
              </w:rPr>
            </w:pPr>
            <w:r>
              <w:rPr>
                <w:rFonts w:hint="eastAsia" w:ascii="宋体" w:hAnsi="宋体" w:cs="宋体"/>
                <w:color w:val="auto"/>
                <w:kern w:val="0"/>
                <w:sz w:val="22"/>
                <w:szCs w:val="22"/>
                <w:highlight w:val="none"/>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14:paraId="174EF68C">
        <w:tblPrEx>
          <w:tblCellMar>
            <w:top w:w="0" w:type="dxa"/>
            <w:left w:w="108" w:type="dxa"/>
            <w:bottom w:w="0" w:type="dxa"/>
            <w:right w:w="108" w:type="dxa"/>
          </w:tblCellMar>
        </w:tblPrEx>
        <w:trPr>
          <w:trHeight w:val="766" w:hRule="exact"/>
        </w:trPr>
        <w:tc>
          <w:tcPr>
            <w:tcW w:w="867" w:type="dxa"/>
            <w:tcBorders>
              <w:top w:val="single" w:color="auto" w:sz="4" w:space="0"/>
              <w:left w:val="single" w:color="auto" w:sz="4" w:space="0"/>
              <w:bottom w:val="single" w:color="auto" w:sz="4" w:space="0"/>
              <w:right w:val="single" w:color="auto" w:sz="4" w:space="0"/>
            </w:tcBorders>
            <w:vAlign w:val="center"/>
          </w:tcPr>
          <w:p w14:paraId="7C1C4294">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13</w:t>
            </w:r>
          </w:p>
        </w:tc>
        <w:tc>
          <w:tcPr>
            <w:tcW w:w="1560" w:type="dxa"/>
            <w:tcBorders>
              <w:top w:val="single" w:color="auto" w:sz="4" w:space="0"/>
              <w:left w:val="single" w:color="auto" w:sz="4" w:space="0"/>
              <w:bottom w:val="single" w:color="auto" w:sz="4" w:space="0"/>
              <w:right w:val="single" w:color="auto" w:sz="4" w:space="0"/>
            </w:tcBorders>
            <w:vAlign w:val="center"/>
          </w:tcPr>
          <w:p w14:paraId="42B20BC9">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投标有效期</w:t>
            </w:r>
          </w:p>
        </w:tc>
        <w:tc>
          <w:tcPr>
            <w:tcW w:w="6571" w:type="dxa"/>
            <w:tcBorders>
              <w:top w:val="single" w:color="auto" w:sz="4" w:space="0"/>
              <w:left w:val="single" w:color="auto" w:sz="4" w:space="0"/>
              <w:bottom w:val="single" w:color="auto" w:sz="4" w:space="0"/>
              <w:right w:val="single" w:color="auto" w:sz="4" w:space="0"/>
            </w:tcBorders>
            <w:vAlign w:val="center"/>
          </w:tcPr>
          <w:p w14:paraId="698AC662">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投标文件自投标截止时间起生效，有效期90日。</w:t>
            </w:r>
          </w:p>
        </w:tc>
      </w:tr>
      <w:tr w14:paraId="0E40E1B0">
        <w:tblPrEx>
          <w:tblCellMar>
            <w:top w:w="0" w:type="dxa"/>
            <w:left w:w="108" w:type="dxa"/>
            <w:bottom w:w="0" w:type="dxa"/>
            <w:right w:w="108" w:type="dxa"/>
          </w:tblCellMar>
        </w:tblPrEx>
        <w:trPr>
          <w:trHeight w:val="1245" w:hRule="atLeast"/>
        </w:trPr>
        <w:tc>
          <w:tcPr>
            <w:tcW w:w="867" w:type="dxa"/>
            <w:tcBorders>
              <w:top w:val="single" w:color="auto" w:sz="4" w:space="0"/>
              <w:left w:val="single" w:color="auto" w:sz="4" w:space="0"/>
              <w:bottom w:val="single" w:color="auto" w:sz="4" w:space="0"/>
              <w:right w:val="single" w:color="auto" w:sz="4" w:space="0"/>
            </w:tcBorders>
            <w:vAlign w:val="center"/>
          </w:tcPr>
          <w:p w14:paraId="3CEB2056">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14</w:t>
            </w:r>
          </w:p>
        </w:tc>
        <w:tc>
          <w:tcPr>
            <w:tcW w:w="1560" w:type="dxa"/>
            <w:tcBorders>
              <w:top w:val="single" w:color="auto" w:sz="4" w:space="0"/>
              <w:left w:val="single" w:color="auto" w:sz="4" w:space="0"/>
              <w:bottom w:val="single" w:color="auto" w:sz="4" w:space="0"/>
              <w:right w:val="single" w:color="auto" w:sz="4" w:space="0"/>
            </w:tcBorders>
            <w:vAlign w:val="center"/>
          </w:tcPr>
          <w:p w14:paraId="1A92252C">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投标保证金</w:t>
            </w:r>
          </w:p>
        </w:tc>
        <w:tc>
          <w:tcPr>
            <w:tcW w:w="6571" w:type="dxa"/>
            <w:tcBorders>
              <w:top w:val="single" w:color="auto" w:sz="4" w:space="0"/>
              <w:left w:val="single" w:color="auto" w:sz="4" w:space="0"/>
              <w:bottom w:val="single" w:color="auto" w:sz="4" w:space="0"/>
              <w:right w:val="single" w:color="auto" w:sz="4" w:space="0"/>
            </w:tcBorders>
            <w:vAlign w:val="center"/>
          </w:tcPr>
          <w:p w14:paraId="19C5D256">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投标保证金的金额：人民币壹万壹仟元整（¥11000.00）</w:t>
            </w:r>
          </w:p>
          <w:p w14:paraId="545C21D0">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投标保证金的形式：电汇或银行转账</w:t>
            </w:r>
          </w:p>
          <w:p w14:paraId="22A31F9B">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投标人应于2026年 月 日12:00前通过浙江省海港集团电子招标采购平台汇入指定账户。</w:t>
            </w:r>
          </w:p>
          <w:p w14:paraId="492D3E68">
            <w:pPr>
              <w:widowControl/>
              <w:spacing w:line="440" w:lineRule="exact"/>
              <w:jc w:val="left"/>
              <w:rPr>
                <w:rFonts w:ascii="宋体" w:hAnsi="宋体" w:cs="宋体"/>
                <w:bCs/>
                <w:color w:val="auto"/>
                <w:kern w:val="0"/>
                <w:sz w:val="22"/>
                <w:szCs w:val="22"/>
                <w:highlight w:val="none"/>
                <w:u w:val="single"/>
              </w:rPr>
            </w:pPr>
            <w:r>
              <w:rPr>
                <w:rFonts w:hint="eastAsia" w:ascii="宋体" w:hAnsi="宋体" w:cs="宋体"/>
                <w:bCs/>
                <w:color w:val="auto"/>
                <w:kern w:val="0"/>
                <w:sz w:val="22"/>
                <w:szCs w:val="22"/>
                <w:highlight w:val="none"/>
              </w:rPr>
              <w:t>投标保证金应通过投标单位银行基本账户汇入，否则视为投标保证金无效。</w:t>
            </w:r>
          </w:p>
        </w:tc>
      </w:tr>
      <w:tr w14:paraId="6E1C3DD4">
        <w:tblPrEx>
          <w:tblCellMar>
            <w:top w:w="0" w:type="dxa"/>
            <w:left w:w="108" w:type="dxa"/>
            <w:bottom w:w="0" w:type="dxa"/>
            <w:right w:w="108" w:type="dxa"/>
          </w:tblCellMar>
        </w:tblPrEx>
        <w:trPr>
          <w:trHeight w:val="685" w:hRule="atLeast"/>
        </w:trPr>
        <w:tc>
          <w:tcPr>
            <w:tcW w:w="867" w:type="dxa"/>
            <w:tcBorders>
              <w:top w:val="single" w:color="auto" w:sz="4" w:space="0"/>
              <w:left w:val="single" w:color="auto" w:sz="4" w:space="0"/>
              <w:bottom w:val="single" w:color="auto" w:sz="4" w:space="0"/>
              <w:right w:val="single" w:color="auto" w:sz="4" w:space="0"/>
            </w:tcBorders>
            <w:vAlign w:val="center"/>
          </w:tcPr>
          <w:p w14:paraId="522BD08C">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15</w:t>
            </w:r>
          </w:p>
        </w:tc>
        <w:tc>
          <w:tcPr>
            <w:tcW w:w="1560" w:type="dxa"/>
            <w:tcBorders>
              <w:top w:val="single" w:color="auto" w:sz="4" w:space="0"/>
              <w:left w:val="single" w:color="auto" w:sz="4" w:space="0"/>
              <w:bottom w:val="single" w:color="auto" w:sz="4" w:space="0"/>
              <w:right w:val="single" w:color="auto" w:sz="4" w:space="0"/>
            </w:tcBorders>
            <w:vAlign w:val="center"/>
          </w:tcPr>
          <w:p w14:paraId="57C636C0">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履约保证金</w:t>
            </w:r>
          </w:p>
        </w:tc>
        <w:tc>
          <w:tcPr>
            <w:tcW w:w="6571" w:type="dxa"/>
            <w:tcBorders>
              <w:top w:val="single" w:color="auto" w:sz="4" w:space="0"/>
              <w:left w:val="single" w:color="auto" w:sz="4" w:space="0"/>
              <w:bottom w:val="single" w:color="auto" w:sz="4" w:space="0"/>
              <w:right w:val="single" w:color="auto" w:sz="4" w:space="0"/>
            </w:tcBorders>
            <w:vAlign w:val="center"/>
          </w:tcPr>
          <w:p w14:paraId="4459CEA8">
            <w:pPr>
              <w:spacing w:line="44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□不需要</w:t>
            </w:r>
          </w:p>
          <w:p w14:paraId="52D9A665">
            <w:pPr>
              <w:spacing w:line="44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position w:val="-4"/>
                <w:sz w:val="22"/>
                <w:szCs w:val="22"/>
                <w:highlight w:val="none"/>
              </w:rPr>
              <w:instrText xml:space="preserve">□</w:instrText>
            </w:r>
            <w:r>
              <w:rPr>
                <w:rFonts w:hint="eastAsia" w:ascii="宋体" w:hAnsi="宋体" w:cs="宋体"/>
                <w:color w:val="auto"/>
                <w:kern w:val="0"/>
                <w:sz w:val="22"/>
                <w:szCs w:val="22"/>
                <w:highlight w:val="none"/>
              </w:rPr>
              <w:instrText xml:space="preserve">,√)</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需要</w:t>
            </w:r>
          </w:p>
          <w:p w14:paraId="5EDF6577">
            <w:pPr>
              <w:spacing w:line="44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履约保证金的形式：银行转账</w:t>
            </w:r>
          </w:p>
          <w:p w14:paraId="5A139F83">
            <w:pPr>
              <w:spacing w:line="44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履约保证金的金额：签订合同价的5%，中标人在合同签订之前须向招标人提交履约保证金，并且要保证履约保证金在合同履行期间的有效性。</w:t>
            </w:r>
          </w:p>
          <w:p w14:paraId="4B2CC8AB">
            <w:pPr>
              <w:pStyle w:val="39"/>
              <w:adjustRightInd/>
              <w:spacing w:line="44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rPr>
              <w:t>有效期：至合同履行完成</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若一阶段工程全部交工验收合格之日起满1年，招标人仍未书面通知启动二阶段工程，则招标人应在该期限届满后30个日历天内向中标人无息退还全部履约保证金。</w:t>
            </w:r>
          </w:p>
        </w:tc>
      </w:tr>
      <w:tr w14:paraId="34A54C9B">
        <w:tblPrEx>
          <w:tblCellMar>
            <w:top w:w="0" w:type="dxa"/>
            <w:left w:w="108" w:type="dxa"/>
            <w:bottom w:w="0" w:type="dxa"/>
            <w:right w:w="108" w:type="dxa"/>
          </w:tblCellMar>
        </w:tblPrEx>
        <w:trPr>
          <w:trHeight w:val="649" w:hRule="atLeast"/>
        </w:trPr>
        <w:tc>
          <w:tcPr>
            <w:tcW w:w="867" w:type="dxa"/>
            <w:tcBorders>
              <w:top w:val="single" w:color="auto" w:sz="4" w:space="0"/>
              <w:left w:val="single" w:color="auto" w:sz="4" w:space="0"/>
              <w:bottom w:val="single" w:color="auto" w:sz="4" w:space="0"/>
              <w:right w:val="single" w:color="auto" w:sz="4" w:space="0"/>
            </w:tcBorders>
            <w:vAlign w:val="center"/>
          </w:tcPr>
          <w:p w14:paraId="4D7BB823">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16</w:t>
            </w:r>
          </w:p>
        </w:tc>
        <w:tc>
          <w:tcPr>
            <w:tcW w:w="1560" w:type="dxa"/>
            <w:tcBorders>
              <w:top w:val="single" w:color="auto" w:sz="4" w:space="0"/>
              <w:left w:val="single" w:color="auto" w:sz="4" w:space="0"/>
              <w:bottom w:val="single" w:color="auto" w:sz="4" w:space="0"/>
              <w:right w:val="single" w:color="auto" w:sz="4" w:space="0"/>
            </w:tcBorders>
            <w:vAlign w:val="center"/>
          </w:tcPr>
          <w:p w14:paraId="33036C4D">
            <w:pPr>
              <w:spacing w:line="440" w:lineRule="exact"/>
              <w:jc w:val="left"/>
              <w:rPr>
                <w:rFonts w:ascii="宋体" w:hAnsi="宋体" w:cs="宋体"/>
                <w:b/>
                <w:color w:val="auto"/>
                <w:kern w:val="0"/>
                <w:sz w:val="22"/>
                <w:szCs w:val="22"/>
                <w:highlight w:val="none"/>
              </w:rPr>
            </w:pPr>
            <w:r>
              <w:rPr>
                <w:rFonts w:hint="eastAsia" w:ascii="宋体" w:hAnsi="宋体" w:cs="宋体"/>
                <w:bCs/>
                <w:color w:val="auto"/>
                <w:kern w:val="0"/>
                <w:sz w:val="22"/>
                <w:szCs w:val="22"/>
                <w:highlight w:val="none"/>
              </w:rPr>
              <w:t>包装要求</w:t>
            </w:r>
          </w:p>
        </w:tc>
        <w:tc>
          <w:tcPr>
            <w:tcW w:w="6571" w:type="dxa"/>
            <w:tcBorders>
              <w:top w:val="single" w:color="auto" w:sz="4" w:space="0"/>
              <w:left w:val="single" w:color="auto" w:sz="4" w:space="0"/>
              <w:bottom w:val="single" w:color="auto" w:sz="4" w:space="0"/>
              <w:right w:val="single" w:color="auto" w:sz="4" w:space="0"/>
            </w:tcBorders>
            <w:vAlign w:val="center"/>
          </w:tcPr>
          <w:p w14:paraId="2A18ADC8">
            <w:pPr>
              <w:spacing w:line="44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将电子投标文件加密后递交至电子招标采购平台。</w:t>
            </w:r>
          </w:p>
        </w:tc>
      </w:tr>
      <w:tr w14:paraId="1E23DC9B">
        <w:tblPrEx>
          <w:tblCellMar>
            <w:top w:w="0" w:type="dxa"/>
            <w:left w:w="108" w:type="dxa"/>
            <w:bottom w:w="0" w:type="dxa"/>
            <w:right w:w="108" w:type="dxa"/>
          </w:tblCellMar>
        </w:tblPrEx>
        <w:trPr>
          <w:trHeight w:val="127" w:hRule="atLeast"/>
        </w:trPr>
        <w:tc>
          <w:tcPr>
            <w:tcW w:w="867" w:type="dxa"/>
            <w:tcBorders>
              <w:top w:val="single" w:color="auto" w:sz="4" w:space="0"/>
              <w:left w:val="single" w:color="auto" w:sz="4" w:space="0"/>
              <w:bottom w:val="single" w:color="auto" w:sz="4" w:space="0"/>
              <w:right w:val="single" w:color="auto" w:sz="4" w:space="0"/>
            </w:tcBorders>
            <w:vAlign w:val="center"/>
          </w:tcPr>
          <w:p w14:paraId="37987FB7">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17</w:t>
            </w:r>
          </w:p>
        </w:tc>
        <w:tc>
          <w:tcPr>
            <w:tcW w:w="1560" w:type="dxa"/>
            <w:tcBorders>
              <w:top w:val="single" w:color="auto" w:sz="4" w:space="0"/>
              <w:left w:val="single" w:color="auto" w:sz="4" w:space="0"/>
              <w:bottom w:val="single" w:color="auto" w:sz="4" w:space="0"/>
              <w:right w:val="single" w:color="auto" w:sz="4" w:space="0"/>
            </w:tcBorders>
            <w:vAlign w:val="center"/>
          </w:tcPr>
          <w:p w14:paraId="34F2C378">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答疑与澄清</w:t>
            </w:r>
          </w:p>
        </w:tc>
        <w:tc>
          <w:tcPr>
            <w:tcW w:w="6571" w:type="dxa"/>
            <w:tcBorders>
              <w:top w:val="single" w:color="auto" w:sz="4" w:space="0"/>
              <w:left w:val="single" w:color="auto" w:sz="4" w:space="0"/>
              <w:bottom w:val="single" w:color="auto" w:sz="4" w:space="0"/>
              <w:right w:val="single" w:color="auto" w:sz="4" w:space="0"/>
            </w:tcBorders>
            <w:vAlign w:val="center"/>
          </w:tcPr>
          <w:p w14:paraId="3B7EAD19">
            <w:pPr>
              <w:spacing w:line="440" w:lineRule="exact"/>
              <w:ind w:hanging="4"/>
              <w:jc w:val="left"/>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（1）招标人对已发出的招标文件进行必要的澄清和修改时，将在招标公告规定的投标截止时间</w:t>
            </w:r>
            <w:r>
              <w:rPr>
                <w:rFonts w:hint="eastAsia" w:ascii="宋体" w:hAnsi="宋体" w:cs="宋体"/>
                <w:color w:val="auto"/>
                <w:sz w:val="22"/>
                <w:szCs w:val="22"/>
                <w:highlight w:val="none"/>
              </w:rPr>
              <w:t>10</w:t>
            </w:r>
            <w:r>
              <w:rPr>
                <w:rFonts w:hint="eastAsia" w:ascii="宋体" w:hAnsi="宋体" w:cs="宋体"/>
                <w:color w:val="auto"/>
                <w:sz w:val="22"/>
                <w:szCs w:val="22"/>
                <w:highlight w:val="none"/>
                <w:lang w:val="zh-CN"/>
              </w:rPr>
              <w:t xml:space="preserve">日前，以书面形式或在规定信息发布网站上通知所有招标文件收受人，投标人须自行查看是否有澄清和修改文件，并按澄清和修改文件要求投标，否则责任自负，澄清和修改的内容作为招标文件的组成部分。招标人根据实际情况，作出延长投标截止时间和开标时间的决定，并发布变更公告。 </w:t>
            </w:r>
          </w:p>
          <w:p w14:paraId="0D565CFE">
            <w:pPr>
              <w:spacing w:line="440" w:lineRule="exact"/>
              <w:ind w:hanging="4"/>
              <w:jc w:val="left"/>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（2）购买招标文件的潜在投标人对招标文件有异议，应在投标截止时间10日前，在线提起质疑或送至招标代理公司或以邮件形式</w:t>
            </w:r>
            <w:r>
              <w:rPr>
                <w:rFonts w:hint="eastAsia" w:ascii="宋体" w:hAnsi="宋体" w:cs="宋体"/>
                <w:color w:val="auto"/>
                <w:sz w:val="22"/>
                <w:szCs w:val="22"/>
                <w:highlight w:val="none"/>
              </w:rPr>
              <w:t>1205917806@qq.co</w:t>
            </w:r>
            <w:r>
              <w:rPr>
                <w:rFonts w:hint="eastAsia" w:ascii="宋体" w:hAnsi="宋体" w:cs="宋体"/>
                <w:color w:val="auto"/>
                <w:sz w:val="22"/>
                <w:szCs w:val="22"/>
                <w:highlight w:val="none"/>
                <w:u w:val="dotted"/>
              </w:rPr>
              <w:t>m</w:t>
            </w:r>
            <w:r>
              <w:rPr>
                <w:rFonts w:hint="eastAsia" w:ascii="宋体" w:hAnsi="宋体" w:cs="宋体"/>
                <w:color w:val="auto"/>
                <w:sz w:val="22"/>
                <w:szCs w:val="22"/>
                <w:highlight w:val="none"/>
                <w:lang w:val="zh-CN"/>
              </w:rPr>
              <w:t>。</w:t>
            </w:r>
          </w:p>
          <w:p w14:paraId="150CDC5F">
            <w:pPr>
              <w:spacing w:line="440" w:lineRule="exact"/>
              <w:ind w:hanging="4"/>
              <w:jc w:val="left"/>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投标人在线提起质疑，路径为：浙江省海港集团电子招标采购平台-进入项目-澄清答疑。</w:t>
            </w:r>
          </w:p>
          <w:p w14:paraId="1D3CF634">
            <w:pPr>
              <w:spacing w:line="440" w:lineRule="exact"/>
              <w:ind w:hanging="4"/>
              <w:jc w:val="left"/>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注意：在线质疑后，电话告知相关招标人、代理机构。</w:t>
            </w:r>
          </w:p>
          <w:p w14:paraId="4FF99017">
            <w:pPr>
              <w:pStyle w:val="16"/>
              <w:spacing w:beforeLines="0" w:afterLines="0" w:line="440" w:lineRule="exact"/>
              <w:jc w:val="left"/>
              <w:rPr>
                <w:rFonts w:hAnsi="宋体" w:cs="宋体"/>
                <w:color w:val="auto"/>
                <w:kern w:val="2"/>
                <w:sz w:val="22"/>
                <w:szCs w:val="22"/>
                <w:highlight w:val="none"/>
              </w:rPr>
            </w:pPr>
            <w:r>
              <w:rPr>
                <w:rFonts w:hint="eastAsia" w:hAnsi="宋体" w:cs="宋体"/>
                <w:color w:val="auto"/>
                <w:kern w:val="2"/>
                <w:sz w:val="22"/>
                <w:szCs w:val="22"/>
                <w:highlight w:val="none"/>
                <w:lang w:val="zh-CN"/>
              </w:rPr>
              <w:t>（3）没有提出异议且又参与了该项目投标的投标人将被视为完全认同招标文件。</w:t>
            </w:r>
          </w:p>
        </w:tc>
      </w:tr>
      <w:tr w14:paraId="6197CFD4">
        <w:tblPrEx>
          <w:tblCellMar>
            <w:top w:w="0" w:type="dxa"/>
            <w:left w:w="108" w:type="dxa"/>
            <w:bottom w:w="0" w:type="dxa"/>
            <w:right w:w="108" w:type="dxa"/>
          </w:tblCellMar>
        </w:tblPrEx>
        <w:trPr>
          <w:trHeight w:val="865" w:hRule="atLeast"/>
        </w:trPr>
        <w:tc>
          <w:tcPr>
            <w:tcW w:w="867" w:type="dxa"/>
            <w:tcBorders>
              <w:top w:val="single" w:color="auto" w:sz="4" w:space="0"/>
              <w:left w:val="single" w:color="auto" w:sz="4" w:space="0"/>
              <w:bottom w:val="single" w:color="auto" w:sz="4" w:space="0"/>
              <w:right w:val="single" w:color="auto" w:sz="4" w:space="0"/>
            </w:tcBorders>
            <w:vAlign w:val="center"/>
          </w:tcPr>
          <w:p w14:paraId="4A4C72AF">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18</w:t>
            </w:r>
          </w:p>
        </w:tc>
        <w:tc>
          <w:tcPr>
            <w:tcW w:w="1560" w:type="dxa"/>
            <w:tcBorders>
              <w:top w:val="single" w:color="auto" w:sz="4" w:space="0"/>
              <w:left w:val="single" w:color="auto" w:sz="4" w:space="0"/>
              <w:bottom w:val="single" w:color="auto" w:sz="4" w:space="0"/>
              <w:right w:val="single" w:color="auto" w:sz="4" w:space="0"/>
            </w:tcBorders>
            <w:vAlign w:val="center"/>
          </w:tcPr>
          <w:p w14:paraId="55C7245B">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递交投标文件地点及截止时间</w:t>
            </w:r>
          </w:p>
        </w:tc>
        <w:tc>
          <w:tcPr>
            <w:tcW w:w="6571" w:type="dxa"/>
            <w:tcBorders>
              <w:top w:val="single" w:color="auto" w:sz="4" w:space="0"/>
              <w:left w:val="single" w:color="auto" w:sz="4" w:space="0"/>
              <w:bottom w:val="single" w:color="auto" w:sz="4" w:space="0"/>
              <w:right w:val="single" w:color="auto" w:sz="4" w:space="0"/>
            </w:tcBorders>
            <w:vAlign w:val="center"/>
          </w:tcPr>
          <w:p w14:paraId="7352E726">
            <w:pPr>
              <w:pStyle w:val="2"/>
              <w:spacing w:after="0" w:line="440" w:lineRule="exact"/>
              <w:ind w:firstLine="0" w:firstLineChars="0"/>
              <w:jc w:val="left"/>
              <w:rPr>
                <w:rFonts w:ascii="宋体" w:hAnsi="宋体" w:cs="宋体"/>
                <w:color w:val="auto"/>
                <w:kern w:val="2"/>
                <w:sz w:val="22"/>
                <w:szCs w:val="22"/>
                <w:highlight w:val="none"/>
              </w:rPr>
            </w:pPr>
            <w:r>
              <w:rPr>
                <w:rFonts w:hint="eastAsia" w:ascii="宋体" w:hAnsi="宋体" w:cs="宋体"/>
                <w:bCs/>
                <w:color w:val="auto"/>
                <w:sz w:val="22"/>
                <w:szCs w:val="22"/>
                <w:highlight w:val="none"/>
              </w:rPr>
              <w:t>同招标公告</w:t>
            </w:r>
          </w:p>
        </w:tc>
      </w:tr>
      <w:tr w14:paraId="082C4F10">
        <w:tblPrEx>
          <w:tblCellMar>
            <w:top w:w="0" w:type="dxa"/>
            <w:left w:w="108" w:type="dxa"/>
            <w:bottom w:w="0" w:type="dxa"/>
            <w:right w:w="108" w:type="dxa"/>
          </w:tblCellMar>
        </w:tblPrEx>
        <w:trPr>
          <w:trHeight w:val="964" w:hRule="atLeast"/>
        </w:trPr>
        <w:tc>
          <w:tcPr>
            <w:tcW w:w="867" w:type="dxa"/>
            <w:tcBorders>
              <w:top w:val="single" w:color="auto" w:sz="4" w:space="0"/>
              <w:left w:val="single" w:color="auto" w:sz="4" w:space="0"/>
              <w:bottom w:val="single" w:color="auto" w:sz="4" w:space="0"/>
              <w:right w:val="single" w:color="auto" w:sz="4" w:space="0"/>
            </w:tcBorders>
            <w:vAlign w:val="center"/>
          </w:tcPr>
          <w:p w14:paraId="2087F8E7">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19</w:t>
            </w:r>
          </w:p>
        </w:tc>
        <w:tc>
          <w:tcPr>
            <w:tcW w:w="1560" w:type="dxa"/>
            <w:tcBorders>
              <w:top w:val="single" w:color="auto" w:sz="4" w:space="0"/>
              <w:left w:val="single" w:color="auto" w:sz="4" w:space="0"/>
              <w:bottom w:val="single" w:color="auto" w:sz="4" w:space="0"/>
              <w:right w:val="single" w:color="auto" w:sz="4" w:space="0"/>
            </w:tcBorders>
            <w:vAlign w:val="center"/>
          </w:tcPr>
          <w:p w14:paraId="4006F02E">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开标时间和地点</w:t>
            </w:r>
          </w:p>
        </w:tc>
        <w:tc>
          <w:tcPr>
            <w:tcW w:w="6571" w:type="dxa"/>
            <w:tcBorders>
              <w:top w:val="single" w:color="auto" w:sz="4" w:space="0"/>
              <w:left w:val="single" w:color="auto" w:sz="4" w:space="0"/>
              <w:bottom w:val="single" w:color="auto" w:sz="4" w:space="0"/>
              <w:right w:val="single" w:color="auto" w:sz="4" w:space="0"/>
            </w:tcBorders>
            <w:vAlign w:val="center"/>
          </w:tcPr>
          <w:p w14:paraId="10811414">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同招标公告</w:t>
            </w:r>
          </w:p>
        </w:tc>
      </w:tr>
      <w:tr w14:paraId="22467FEC">
        <w:tblPrEx>
          <w:tblCellMar>
            <w:top w:w="0" w:type="dxa"/>
            <w:left w:w="108" w:type="dxa"/>
            <w:bottom w:w="0" w:type="dxa"/>
            <w:right w:w="108" w:type="dxa"/>
          </w:tblCellMar>
        </w:tblPrEx>
        <w:trPr>
          <w:trHeight w:val="964" w:hRule="exact"/>
        </w:trPr>
        <w:tc>
          <w:tcPr>
            <w:tcW w:w="867" w:type="dxa"/>
            <w:tcBorders>
              <w:top w:val="single" w:color="auto" w:sz="4" w:space="0"/>
              <w:left w:val="single" w:color="auto" w:sz="4" w:space="0"/>
              <w:bottom w:val="single" w:color="auto" w:sz="4" w:space="0"/>
              <w:right w:val="single" w:color="auto" w:sz="4" w:space="0"/>
            </w:tcBorders>
            <w:vAlign w:val="center"/>
          </w:tcPr>
          <w:p w14:paraId="53A13843">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20</w:t>
            </w:r>
          </w:p>
        </w:tc>
        <w:tc>
          <w:tcPr>
            <w:tcW w:w="1560" w:type="dxa"/>
            <w:tcBorders>
              <w:top w:val="single" w:color="auto" w:sz="4" w:space="0"/>
              <w:left w:val="single" w:color="auto" w:sz="4" w:space="0"/>
              <w:bottom w:val="single" w:color="auto" w:sz="4" w:space="0"/>
              <w:right w:val="single" w:color="auto" w:sz="4" w:space="0"/>
            </w:tcBorders>
            <w:vAlign w:val="center"/>
          </w:tcPr>
          <w:p w14:paraId="51529EC1">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评标专家的组建</w:t>
            </w:r>
          </w:p>
        </w:tc>
        <w:tc>
          <w:tcPr>
            <w:tcW w:w="6571" w:type="dxa"/>
            <w:tcBorders>
              <w:top w:val="single" w:color="auto" w:sz="4" w:space="0"/>
              <w:left w:val="single" w:color="auto" w:sz="4" w:space="0"/>
              <w:bottom w:val="single" w:color="auto" w:sz="4" w:space="0"/>
              <w:right w:val="single" w:color="auto" w:sz="4" w:space="0"/>
            </w:tcBorders>
            <w:vAlign w:val="center"/>
          </w:tcPr>
          <w:p w14:paraId="67242533">
            <w:pPr>
              <w:spacing w:line="440" w:lineRule="exact"/>
              <w:jc w:val="left"/>
              <w:rPr>
                <w:rFonts w:ascii="宋体" w:hAnsi="宋体" w:cs="宋体"/>
                <w:color w:val="auto"/>
                <w:sz w:val="22"/>
                <w:szCs w:val="22"/>
                <w:highlight w:val="none"/>
              </w:rPr>
            </w:pPr>
            <w:r>
              <w:rPr>
                <w:rFonts w:hint="eastAsia" w:ascii="宋体" w:hAnsi="宋体" w:cs="宋体"/>
                <w:bCs/>
                <w:color w:val="auto"/>
                <w:kern w:val="0"/>
                <w:sz w:val="22"/>
                <w:szCs w:val="22"/>
                <w:highlight w:val="none"/>
              </w:rPr>
              <w:t>本项目评标委员会由招标人代表及评审专家共5人组成。</w:t>
            </w:r>
          </w:p>
        </w:tc>
      </w:tr>
      <w:tr w14:paraId="4CFA1662">
        <w:tblPrEx>
          <w:tblCellMar>
            <w:top w:w="0" w:type="dxa"/>
            <w:left w:w="108" w:type="dxa"/>
            <w:bottom w:w="0" w:type="dxa"/>
            <w:right w:w="108" w:type="dxa"/>
          </w:tblCellMar>
        </w:tblPrEx>
        <w:trPr>
          <w:trHeight w:val="964" w:hRule="exact"/>
        </w:trPr>
        <w:tc>
          <w:tcPr>
            <w:tcW w:w="867" w:type="dxa"/>
            <w:tcBorders>
              <w:top w:val="single" w:color="auto" w:sz="4" w:space="0"/>
              <w:left w:val="single" w:color="auto" w:sz="4" w:space="0"/>
              <w:bottom w:val="single" w:color="auto" w:sz="4" w:space="0"/>
              <w:right w:val="single" w:color="auto" w:sz="4" w:space="0"/>
            </w:tcBorders>
            <w:vAlign w:val="center"/>
          </w:tcPr>
          <w:p w14:paraId="5C03B82F">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21</w:t>
            </w:r>
          </w:p>
        </w:tc>
        <w:tc>
          <w:tcPr>
            <w:tcW w:w="1560" w:type="dxa"/>
            <w:tcBorders>
              <w:top w:val="single" w:color="auto" w:sz="4" w:space="0"/>
              <w:left w:val="single" w:color="auto" w:sz="4" w:space="0"/>
              <w:bottom w:val="single" w:color="auto" w:sz="4" w:space="0"/>
              <w:right w:val="single" w:color="auto" w:sz="4" w:space="0"/>
            </w:tcBorders>
            <w:vAlign w:val="center"/>
          </w:tcPr>
          <w:p w14:paraId="217D1DEE">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开评标程序</w:t>
            </w:r>
          </w:p>
        </w:tc>
        <w:tc>
          <w:tcPr>
            <w:tcW w:w="6571" w:type="dxa"/>
            <w:tcBorders>
              <w:top w:val="single" w:color="auto" w:sz="4" w:space="0"/>
              <w:left w:val="single" w:color="auto" w:sz="4" w:space="0"/>
              <w:bottom w:val="single" w:color="auto" w:sz="4" w:space="0"/>
              <w:right w:val="single" w:color="auto" w:sz="4" w:space="0"/>
            </w:tcBorders>
            <w:vAlign w:val="center"/>
          </w:tcPr>
          <w:p w14:paraId="26F0B3E3">
            <w:pPr>
              <w:spacing w:line="440" w:lineRule="exact"/>
              <w:jc w:val="left"/>
              <w:rPr>
                <w:rFonts w:ascii="宋体" w:hAnsi="宋体" w:cs="宋体"/>
                <w:color w:val="auto"/>
                <w:sz w:val="22"/>
                <w:szCs w:val="22"/>
                <w:highlight w:val="none"/>
              </w:rPr>
            </w:pPr>
            <w:r>
              <w:rPr>
                <w:rFonts w:hint="eastAsia" w:ascii="宋体" w:hAnsi="宋体" w:cs="宋体"/>
                <w:bCs/>
                <w:color w:val="auto"/>
                <w:kern w:val="0"/>
                <w:sz w:val="22"/>
                <w:szCs w:val="22"/>
                <w:highlight w:val="none"/>
              </w:rPr>
              <w:t>开启</w:t>
            </w:r>
            <w:r>
              <w:rPr>
                <w:rFonts w:hint="eastAsia" w:ascii="宋体" w:hAnsi="宋体" w:cs="宋体"/>
                <w:color w:val="auto"/>
                <w:kern w:val="0"/>
                <w:sz w:val="22"/>
                <w:szCs w:val="22"/>
                <w:highlight w:val="none"/>
              </w:rPr>
              <w:t>资格审查文件、商务技术标、</w:t>
            </w:r>
            <w:r>
              <w:rPr>
                <w:rFonts w:hint="eastAsia" w:ascii="宋体" w:hAnsi="宋体" w:cs="宋体"/>
                <w:color w:val="auto"/>
                <w:sz w:val="22"/>
                <w:szCs w:val="22"/>
                <w:highlight w:val="none"/>
              </w:rPr>
              <w:t>价格</w:t>
            </w:r>
            <w:r>
              <w:rPr>
                <w:rFonts w:hint="eastAsia" w:ascii="宋体" w:hAnsi="宋体" w:cs="宋体"/>
                <w:color w:val="auto"/>
                <w:kern w:val="0"/>
                <w:sz w:val="22"/>
                <w:szCs w:val="22"/>
                <w:highlight w:val="none"/>
              </w:rPr>
              <w:t>标</w:t>
            </w:r>
            <w:r>
              <w:rPr>
                <w:rFonts w:hint="eastAsia" w:ascii="宋体" w:hAnsi="宋体" w:cs="宋体"/>
                <w:bCs/>
                <w:color w:val="auto"/>
                <w:kern w:val="0"/>
                <w:sz w:val="22"/>
                <w:szCs w:val="22"/>
                <w:highlight w:val="none"/>
              </w:rPr>
              <w:sym w:font="Wingdings" w:char="F0E8"/>
            </w:r>
            <w:r>
              <w:rPr>
                <w:rFonts w:hint="eastAsia" w:ascii="宋体" w:hAnsi="宋体" w:cs="宋体"/>
                <w:bCs/>
                <w:color w:val="auto"/>
                <w:kern w:val="0"/>
                <w:sz w:val="22"/>
                <w:szCs w:val="22"/>
                <w:highlight w:val="none"/>
              </w:rPr>
              <w:t>资格性审查</w:t>
            </w:r>
            <w:r>
              <w:rPr>
                <w:rFonts w:hint="eastAsia" w:ascii="宋体" w:hAnsi="宋体" w:cs="宋体"/>
                <w:bCs/>
                <w:color w:val="auto"/>
                <w:kern w:val="0"/>
                <w:sz w:val="22"/>
                <w:szCs w:val="22"/>
                <w:highlight w:val="none"/>
              </w:rPr>
              <w:sym w:font="Wingdings" w:char="F0E8"/>
            </w:r>
            <w:r>
              <w:rPr>
                <w:rFonts w:hint="eastAsia" w:ascii="宋体" w:hAnsi="宋体" w:cs="宋体"/>
                <w:color w:val="auto"/>
                <w:kern w:val="0"/>
                <w:sz w:val="22"/>
                <w:szCs w:val="22"/>
                <w:highlight w:val="none"/>
              </w:rPr>
              <w:t>商务技术标</w:t>
            </w:r>
            <w:r>
              <w:rPr>
                <w:rFonts w:hint="eastAsia" w:ascii="宋体" w:hAnsi="宋体" w:cs="宋体"/>
                <w:bCs/>
                <w:color w:val="auto"/>
                <w:kern w:val="0"/>
                <w:sz w:val="22"/>
                <w:szCs w:val="22"/>
                <w:highlight w:val="none"/>
              </w:rPr>
              <w:t>评审</w:t>
            </w:r>
            <w:r>
              <w:rPr>
                <w:rFonts w:hint="eastAsia" w:ascii="宋体" w:hAnsi="宋体" w:cs="宋体"/>
                <w:bCs/>
                <w:color w:val="auto"/>
                <w:kern w:val="0"/>
                <w:sz w:val="22"/>
                <w:szCs w:val="22"/>
                <w:highlight w:val="none"/>
              </w:rPr>
              <w:sym w:font="Wingdings" w:char="F0E8"/>
            </w:r>
            <w:r>
              <w:rPr>
                <w:rFonts w:hint="eastAsia" w:ascii="宋体" w:hAnsi="宋体" w:cs="宋体"/>
                <w:bCs/>
                <w:color w:val="auto"/>
                <w:kern w:val="0"/>
                <w:sz w:val="22"/>
                <w:szCs w:val="22"/>
                <w:highlight w:val="none"/>
              </w:rPr>
              <w:t>价格标评审</w:t>
            </w:r>
            <w:r>
              <w:rPr>
                <w:rFonts w:hint="eastAsia" w:ascii="宋体" w:hAnsi="宋体" w:cs="宋体"/>
                <w:bCs/>
                <w:color w:val="auto"/>
                <w:kern w:val="0"/>
                <w:sz w:val="22"/>
                <w:szCs w:val="22"/>
                <w:highlight w:val="none"/>
              </w:rPr>
              <w:sym w:font="Wingdings" w:char="F0E8"/>
            </w:r>
            <w:r>
              <w:rPr>
                <w:rFonts w:hint="eastAsia" w:ascii="宋体" w:hAnsi="宋体" w:cs="宋体"/>
                <w:bCs/>
                <w:color w:val="auto"/>
                <w:kern w:val="0"/>
                <w:sz w:val="22"/>
                <w:szCs w:val="22"/>
                <w:highlight w:val="none"/>
              </w:rPr>
              <w:t>提交评审报告</w:t>
            </w:r>
          </w:p>
        </w:tc>
      </w:tr>
      <w:tr w14:paraId="79668E36">
        <w:tblPrEx>
          <w:tblCellMar>
            <w:top w:w="0" w:type="dxa"/>
            <w:left w:w="108" w:type="dxa"/>
            <w:bottom w:w="0" w:type="dxa"/>
            <w:right w:w="108" w:type="dxa"/>
          </w:tblCellMar>
        </w:tblPrEx>
        <w:trPr>
          <w:trHeight w:val="658" w:hRule="atLeast"/>
        </w:trPr>
        <w:tc>
          <w:tcPr>
            <w:tcW w:w="867" w:type="dxa"/>
            <w:tcBorders>
              <w:top w:val="single" w:color="auto" w:sz="4" w:space="0"/>
              <w:left w:val="single" w:color="auto" w:sz="4" w:space="0"/>
              <w:bottom w:val="single" w:color="auto" w:sz="4" w:space="0"/>
              <w:right w:val="single" w:color="auto" w:sz="4" w:space="0"/>
            </w:tcBorders>
            <w:vAlign w:val="center"/>
          </w:tcPr>
          <w:p w14:paraId="38B51BE5">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22</w:t>
            </w:r>
          </w:p>
        </w:tc>
        <w:tc>
          <w:tcPr>
            <w:tcW w:w="1560" w:type="dxa"/>
            <w:tcBorders>
              <w:top w:val="single" w:color="auto" w:sz="4" w:space="0"/>
              <w:left w:val="single" w:color="auto" w:sz="4" w:space="0"/>
              <w:bottom w:val="single" w:color="auto" w:sz="4" w:space="0"/>
              <w:right w:val="single" w:color="auto" w:sz="4" w:space="0"/>
            </w:tcBorders>
            <w:vAlign w:val="center"/>
          </w:tcPr>
          <w:p w14:paraId="2771B20A">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评标办法</w:t>
            </w:r>
          </w:p>
        </w:tc>
        <w:tc>
          <w:tcPr>
            <w:tcW w:w="6571" w:type="dxa"/>
            <w:tcBorders>
              <w:top w:val="single" w:color="auto" w:sz="4" w:space="0"/>
              <w:left w:val="single" w:color="auto" w:sz="4" w:space="0"/>
              <w:bottom w:val="single" w:color="auto" w:sz="4" w:space="0"/>
              <w:right w:val="single" w:color="auto" w:sz="4" w:space="0"/>
            </w:tcBorders>
            <w:vAlign w:val="center"/>
          </w:tcPr>
          <w:p w14:paraId="593C9341">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评标办法及评分标准：详见第四章。</w:t>
            </w:r>
          </w:p>
        </w:tc>
      </w:tr>
      <w:tr w14:paraId="00B209B3">
        <w:tblPrEx>
          <w:tblCellMar>
            <w:top w:w="0" w:type="dxa"/>
            <w:left w:w="108" w:type="dxa"/>
            <w:bottom w:w="0" w:type="dxa"/>
            <w:right w:w="108" w:type="dxa"/>
          </w:tblCellMar>
        </w:tblPrEx>
        <w:trPr>
          <w:trHeight w:val="1895" w:hRule="atLeast"/>
        </w:trPr>
        <w:tc>
          <w:tcPr>
            <w:tcW w:w="867" w:type="dxa"/>
            <w:tcBorders>
              <w:top w:val="single" w:color="auto" w:sz="4" w:space="0"/>
              <w:left w:val="single" w:color="auto" w:sz="4" w:space="0"/>
              <w:bottom w:val="single" w:color="auto" w:sz="4" w:space="0"/>
              <w:right w:val="single" w:color="auto" w:sz="4" w:space="0"/>
            </w:tcBorders>
            <w:vAlign w:val="center"/>
          </w:tcPr>
          <w:p w14:paraId="7BC6D806">
            <w:pPr>
              <w:widowControl/>
              <w:spacing w:line="44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23</w:t>
            </w:r>
          </w:p>
        </w:tc>
        <w:tc>
          <w:tcPr>
            <w:tcW w:w="1560" w:type="dxa"/>
            <w:tcBorders>
              <w:top w:val="single" w:color="auto" w:sz="4" w:space="0"/>
              <w:left w:val="single" w:color="auto" w:sz="4" w:space="0"/>
              <w:bottom w:val="single" w:color="auto" w:sz="4" w:space="0"/>
              <w:right w:val="single" w:color="auto" w:sz="4" w:space="0"/>
            </w:tcBorders>
            <w:vAlign w:val="center"/>
          </w:tcPr>
          <w:p w14:paraId="7B3893CD">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注意事项</w:t>
            </w:r>
          </w:p>
        </w:tc>
        <w:tc>
          <w:tcPr>
            <w:tcW w:w="6571" w:type="dxa"/>
            <w:tcBorders>
              <w:top w:val="single" w:color="auto" w:sz="4" w:space="0"/>
              <w:left w:val="single" w:color="auto" w:sz="4" w:space="0"/>
              <w:bottom w:val="single" w:color="auto" w:sz="4" w:space="0"/>
              <w:right w:val="single" w:color="auto" w:sz="4" w:space="0"/>
            </w:tcBorders>
            <w:vAlign w:val="center"/>
          </w:tcPr>
          <w:p w14:paraId="1D2B0A8E">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1）本招标文件涉及的时间为“北京时间”；</w:t>
            </w:r>
          </w:p>
          <w:p w14:paraId="4130211E">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2）本招标文件涉及的货币为“人民币”；</w:t>
            </w:r>
          </w:p>
          <w:p w14:paraId="1393B118">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3）签订合同时间：中标通知书发出后30日内；</w:t>
            </w:r>
          </w:p>
          <w:p w14:paraId="026B5F06">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4）发布本次招标公告、评标结果公示的媒介；</w:t>
            </w:r>
          </w:p>
          <w:p w14:paraId="33F1D1D1">
            <w:pPr>
              <w:widowControl/>
              <w:spacing w:line="440" w:lineRule="exact"/>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在浙江海港电子招标采购平台（http://hgdzzb.nbport.com.cn/）、温州港集团有限公司网站（https://www.wzport.com/wzport/wzgzz/sy/index.html）等网站上发布。</w:t>
            </w:r>
          </w:p>
        </w:tc>
      </w:tr>
      <w:tr w14:paraId="25CA447D">
        <w:tblPrEx>
          <w:tblCellMar>
            <w:top w:w="0" w:type="dxa"/>
            <w:left w:w="108" w:type="dxa"/>
            <w:bottom w:w="0" w:type="dxa"/>
            <w:right w:w="108" w:type="dxa"/>
          </w:tblCellMar>
        </w:tblPrEx>
        <w:trPr>
          <w:trHeight w:val="624" w:hRule="atLeast"/>
        </w:trPr>
        <w:tc>
          <w:tcPr>
            <w:tcW w:w="867" w:type="dxa"/>
            <w:tcBorders>
              <w:top w:val="single" w:color="auto" w:sz="4" w:space="0"/>
              <w:left w:val="single" w:color="auto" w:sz="4" w:space="0"/>
              <w:bottom w:val="single" w:color="auto" w:sz="4" w:space="0"/>
              <w:right w:val="single" w:color="auto" w:sz="4" w:space="0"/>
            </w:tcBorders>
            <w:vAlign w:val="center"/>
          </w:tcPr>
          <w:p w14:paraId="7EC70B89">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24</w:t>
            </w:r>
          </w:p>
        </w:tc>
        <w:tc>
          <w:tcPr>
            <w:tcW w:w="1560" w:type="dxa"/>
            <w:tcBorders>
              <w:top w:val="single" w:color="auto" w:sz="4" w:space="0"/>
              <w:left w:val="single" w:color="auto" w:sz="4" w:space="0"/>
              <w:bottom w:val="single" w:color="auto" w:sz="4" w:space="0"/>
              <w:right w:val="single" w:color="auto" w:sz="4" w:space="0"/>
            </w:tcBorders>
            <w:vAlign w:val="center"/>
          </w:tcPr>
          <w:p w14:paraId="64F8DBC7">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解释</w:t>
            </w:r>
          </w:p>
        </w:tc>
        <w:tc>
          <w:tcPr>
            <w:tcW w:w="6571" w:type="dxa"/>
            <w:tcBorders>
              <w:top w:val="single" w:color="auto" w:sz="4" w:space="0"/>
              <w:left w:val="single" w:color="auto" w:sz="4" w:space="0"/>
              <w:bottom w:val="single" w:color="auto" w:sz="4" w:space="0"/>
              <w:right w:val="single" w:color="auto" w:sz="4" w:space="0"/>
            </w:tcBorders>
            <w:vAlign w:val="center"/>
          </w:tcPr>
          <w:p w14:paraId="3CFC3EA9">
            <w:pPr>
              <w:spacing w:line="440" w:lineRule="exact"/>
              <w:jc w:val="left"/>
              <w:rPr>
                <w:rFonts w:ascii="宋体" w:hAnsi="宋体" w:cs="宋体"/>
                <w:color w:val="auto"/>
                <w:sz w:val="22"/>
                <w:szCs w:val="22"/>
                <w:highlight w:val="none"/>
              </w:rPr>
            </w:pPr>
            <w:r>
              <w:rPr>
                <w:rFonts w:hint="eastAsia" w:ascii="宋体" w:hAnsi="宋体" w:cs="宋体"/>
                <w:bCs/>
                <w:color w:val="auto"/>
                <w:kern w:val="0"/>
                <w:sz w:val="22"/>
                <w:szCs w:val="22"/>
                <w:highlight w:val="none"/>
              </w:rPr>
              <w:t>本招标文件条款由招标人及招标代理机构负责解释</w:t>
            </w:r>
          </w:p>
        </w:tc>
      </w:tr>
      <w:tr w14:paraId="7F50D726">
        <w:tblPrEx>
          <w:tblCellMar>
            <w:top w:w="0" w:type="dxa"/>
            <w:left w:w="108" w:type="dxa"/>
            <w:bottom w:w="0" w:type="dxa"/>
            <w:right w:w="108" w:type="dxa"/>
          </w:tblCellMar>
        </w:tblPrEx>
        <w:trPr>
          <w:trHeight w:val="1333" w:hRule="atLeast"/>
        </w:trPr>
        <w:tc>
          <w:tcPr>
            <w:tcW w:w="867" w:type="dxa"/>
            <w:tcBorders>
              <w:top w:val="single" w:color="auto" w:sz="4" w:space="0"/>
              <w:left w:val="single" w:color="auto" w:sz="4" w:space="0"/>
              <w:bottom w:val="single" w:color="auto" w:sz="4" w:space="0"/>
              <w:right w:val="single" w:color="auto" w:sz="4" w:space="0"/>
            </w:tcBorders>
            <w:vAlign w:val="center"/>
          </w:tcPr>
          <w:p w14:paraId="434C7FA7">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25</w:t>
            </w:r>
          </w:p>
        </w:tc>
        <w:tc>
          <w:tcPr>
            <w:tcW w:w="1560" w:type="dxa"/>
            <w:tcBorders>
              <w:top w:val="single" w:color="auto" w:sz="4" w:space="0"/>
              <w:left w:val="single" w:color="auto" w:sz="4" w:space="0"/>
              <w:bottom w:val="single" w:color="auto" w:sz="4" w:space="0"/>
              <w:right w:val="single" w:color="auto" w:sz="4" w:space="0"/>
            </w:tcBorders>
            <w:vAlign w:val="center"/>
          </w:tcPr>
          <w:p w14:paraId="27426428">
            <w:pPr>
              <w:widowControl/>
              <w:spacing w:line="440" w:lineRule="exact"/>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招标代理服务费</w:t>
            </w:r>
          </w:p>
        </w:tc>
        <w:tc>
          <w:tcPr>
            <w:tcW w:w="6571" w:type="dxa"/>
            <w:tcBorders>
              <w:top w:val="single" w:color="auto" w:sz="4" w:space="0"/>
              <w:left w:val="single" w:color="auto" w:sz="4" w:space="0"/>
              <w:bottom w:val="single" w:color="auto" w:sz="4" w:space="0"/>
              <w:right w:val="single" w:color="auto" w:sz="4" w:space="0"/>
            </w:tcBorders>
            <w:vAlign w:val="center"/>
          </w:tcPr>
          <w:p w14:paraId="651C9A53">
            <w:pPr>
              <w:widowControl/>
              <w:spacing w:line="440" w:lineRule="exact"/>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由招标人支付。</w:t>
            </w:r>
          </w:p>
        </w:tc>
      </w:tr>
      <w:tr w14:paraId="083B6E4F">
        <w:tblPrEx>
          <w:tblCellMar>
            <w:top w:w="0" w:type="dxa"/>
            <w:left w:w="108" w:type="dxa"/>
            <w:bottom w:w="0" w:type="dxa"/>
            <w:right w:w="108" w:type="dxa"/>
          </w:tblCellMar>
        </w:tblPrEx>
        <w:trPr>
          <w:trHeight w:val="1333" w:hRule="atLeast"/>
        </w:trPr>
        <w:tc>
          <w:tcPr>
            <w:tcW w:w="867" w:type="dxa"/>
            <w:tcBorders>
              <w:top w:val="single" w:color="auto" w:sz="4" w:space="0"/>
              <w:left w:val="single" w:color="auto" w:sz="4" w:space="0"/>
              <w:bottom w:val="single" w:color="auto" w:sz="4" w:space="0"/>
              <w:right w:val="single" w:color="auto" w:sz="4" w:space="0"/>
            </w:tcBorders>
            <w:vAlign w:val="center"/>
          </w:tcPr>
          <w:p w14:paraId="6ACD7A60">
            <w:pPr>
              <w:widowControl/>
              <w:spacing w:line="440" w:lineRule="exact"/>
              <w:jc w:val="center"/>
              <w:rPr>
                <w:rFonts w:ascii="宋体" w:hAnsi="宋体" w:cs="宋体"/>
                <w:color w:val="auto"/>
                <w:sz w:val="22"/>
                <w:szCs w:val="22"/>
                <w:highlight w:val="none"/>
              </w:rPr>
            </w:pPr>
            <w:r>
              <w:rPr>
                <w:rFonts w:hint="eastAsia" w:ascii="宋体" w:hAnsi="宋体" w:cs="宋体"/>
                <w:color w:val="auto"/>
                <w:spacing w:val="12"/>
                <w:sz w:val="22"/>
                <w:szCs w:val="22"/>
                <w:highlight w:val="none"/>
                <w:shd w:val="clear" w:color="auto" w:fill="FFFFFF"/>
              </w:rPr>
              <w:t>26</w:t>
            </w:r>
          </w:p>
        </w:tc>
        <w:tc>
          <w:tcPr>
            <w:tcW w:w="1560" w:type="dxa"/>
            <w:tcBorders>
              <w:top w:val="single" w:color="auto" w:sz="4" w:space="0"/>
              <w:left w:val="single" w:color="auto" w:sz="4" w:space="0"/>
              <w:bottom w:val="single" w:color="auto" w:sz="4" w:space="0"/>
              <w:right w:val="single" w:color="auto" w:sz="4" w:space="0"/>
            </w:tcBorders>
            <w:vAlign w:val="center"/>
          </w:tcPr>
          <w:p w14:paraId="7F631097">
            <w:pPr>
              <w:widowControl/>
              <w:spacing w:line="440" w:lineRule="exact"/>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税率</w:t>
            </w:r>
          </w:p>
        </w:tc>
        <w:tc>
          <w:tcPr>
            <w:tcW w:w="6571" w:type="dxa"/>
            <w:tcBorders>
              <w:top w:val="single" w:color="auto" w:sz="4" w:space="0"/>
              <w:left w:val="single" w:color="auto" w:sz="4" w:space="0"/>
              <w:bottom w:val="single" w:color="auto" w:sz="4" w:space="0"/>
              <w:right w:val="single" w:color="auto" w:sz="4" w:space="0"/>
            </w:tcBorders>
            <w:vAlign w:val="center"/>
          </w:tcPr>
          <w:p w14:paraId="2A108192">
            <w:pPr>
              <w:rPr>
                <w:rFonts w:ascii="宋体" w:hAnsi="宋体" w:cs="宋体"/>
                <w:color w:val="auto"/>
                <w:szCs w:val="21"/>
                <w:highlight w:val="none"/>
              </w:rPr>
            </w:pPr>
            <w:r>
              <w:rPr>
                <w:rFonts w:hint="eastAsia" w:ascii="宋体" w:hAnsi="宋体" w:cs="宋体"/>
                <w:color w:val="auto"/>
                <w:szCs w:val="21"/>
                <w:highlight w:val="none"/>
              </w:rPr>
              <w:t>1.投标人提交的报价应为包含6% 增值税税率的含税报价，该税率为招标文件及投标文件约定税率（以下简称约定税率），属于报价构成的核心组成，投标人需充分考虑该税率对报价的影响。</w:t>
            </w:r>
          </w:p>
          <w:p w14:paraId="3A4AECAA">
            <w:pPr>
              <w:rPr>
                <w:rFonts w:ascii="宋体" w:hAnsi="宋体" w:cs="宋体"/>
                <w:color w:val="auto"/>
                <w:szCs w:val="21"/>
                <w:highlight w:val="none"/>
              </w:rPr>
            </w:pPr>
            <w:r>
              <w:rPr>
                <w:rFonts w:hint="eastAsia" w:ascii="宋体" w:hAnsi="宋体" w:cs="宋体"/>
                <w:color w:val="auto"/>
                <w:szCs w:val="21"/>
                <w:highlight w:val="none"/>
              </w:rPr>
              <w:t>2.合同履行期间，因国家税务政策调整或中标人自身原因（如税务资质不符、税务资质调整、核算失误等原因），导致无法开具约定税率合规专票的，按以下规则处理：（1）实际税率低于约定税率的，含税价按 “不含税价不变” 调整，即调整后含税价 = 中标含税报价 ÷（1+约定税率）×（1 + 实际税率）</w:t>
            </w:r>
          </w:p>
          <w:p w14:paraId="14663DEF">
            <w:pPr>
              <w:rPr>
                <w:rFonts w:ascii="宋体" w:hAnsi="宋体" w:cs="宋体"/>
                <w:color w:val="auto"/>
                <w:szCs w:val="21"/>
                <w:highlight w:val="none"/>
              </w:rPr>
            </w:pPr>
            <w:r>
              <w:rPr>
                <w:rFonts w:hint="eastAsia" w:ascii="宋体" w:hAnsi="宋体" w:cs="宋体"/>
                <w:color w:val="auto"/>
                <w:szCs w:val="21"/>
                <w:highlight w:val="none"/>
              </w:rPr>
              <w:t>（2）实际税率高于约定税率的，含税总价维持不变，税率升高产生的额外税费由中标人自行承担，不得要求招标人调整价格或追加费用。</w:t>
            </w:r>
          </w:p>
          <w:p w14:paraId="4DB1D1F3">
            <w:pPr>
              <w:spacing w:line="440" w:lineRule="exact"/>
              <w:jc w:val="left"/>
              <w:rPr>
                <w:rFonts w:ascii="宋体" w:hAnsi="宋体" w:cs="宋体"/>
                <w:b/>
                <w:bCs/>
                <w:color w:val="auto"/>
                <w:sz w:val="22"/>
                <w:szCs w:val="22"/>
                <w:highlight w:val="none"/>
              </w:rPr>
            </w:pPr>
            <w:r>
              <w:rPr>
                <w:rFonts w:hint="eastAsia" w:ascii="宋体" w:hAnsi="宋体" w:cs="宋体"/>
                <w:color w:val="auto"/>
                <w:szCs w:val="21"/>
                <w:highlight w:val="none"/>
              </w:rPr>
              <w:t>3.合同履行期间，中标人应在对应付款节点前，向招标人提供符合国家增值税规定、与招标内容一致的增值税专用发票。若未按要求提供，招标人有权暂停付款且不承担违约责任。中标人补齐合规专票后，招标人再按约付款。</w:t>
            </w:r>
          </w:p>
        </w:tc>
      </w:tr>
      <w:tr w14:paraId="7D64E4B5">
        <w:tblPrEx>
          <w:tblCellMar>
            <w:top w:w="0" w:type="dxa"/>
            <w:left w:w="108" w:type="dxa"/>
            <w:bottom w:w="0" w:type="dxa"/>
            <w:right w:w="108" w:type="dxa"/>
          </w:tblCellMar>
        </w:tblPrEx>
        <w:trPr>
          <w:trHeight w:val="1333" w:hRule="atLeast"/>
        </w:trPr>
        <w:tc>
          <w:tcPr>
            <w:tcW w:w="867" w:type="dxa"/>
            <w:tcBorders>
              <w:top w:val="single" w:color="auto" w:sz="4" w:space="0"/>
              <w:left w:val="single" w:color="auto" w:sz="4" w:space="0"/>
              <w:bottom w:val="single" w:color="auto" w:sz="4" w:space="0"/>
              <w:right w:val="single" w:color="auto" w:sz="4" w:space="0"/>
            </w:tcBorders>
            <w:vAlign w:val="center"/>
          </w:tcPr>
          <w:p w14:paraId="4F8C55E1">
            <w:pPr>
              <w:widowControl/>
              <w:spacing w:line="440" w:lineRule="exact"/>
              <w:jc w:val="center"/>
              <w:rPr>
                <w:rFonts w:ascii="宋体" w:hAnsi="宋体" w:cs="宋体"/>
                <w:color w:val="auto"/>
                <w:sz w:val="22"/>
                <w:szCs w:val="22"/>
                <w:highlight w:val="none"/>
              </w:rPr>
            </w:pPr>
            <w:r>
              <w:rPr>
                <w:rFonts w:hint="eastAsia" w:ascii="宋体" w:hAnsi="宋体" w:cs="宋体"/>
                <w:color w:val="auto"/>
                <w:spacing w:val="12"/>
                <w:sz w:val="22"/>
                <w:szCs w:val="22"/>
                <w:highlight w:val="none"/>
                <w:shd w:val="clear" w:color="auto" w:fill="FFFFFF"/>
              </w:rPr>
              <w:t>★</w:t>
            </w:r>
            <w:r>
              <w:rPr>
                <w:rFonts w:hint="eastAsia" w:ascii="宋体" w:hAnsi="宋体" w:cs="宋体"/>
                <w:color w:val="auto"/>
                <w:sz w:val="22"/>
                <w:szCs w:val="22"/>
                <w:highlight w:val="none"/>
              </w:rPr>
              <w:t>27</w:t>
            </w:r>
          </w:p>
        </w:tc>
        <w:tc>
          <w:tcPr>
            <w:tcW w:w="1560" w:type="dxa"/>
            <w:tcBorders>
              <w:top w:val="single" w:color="auto" w:sz="4" w:space="0"/>
              <w:left w:val="single" w:color="auto" w:sz="4" w:space="0"/>
              <w:bottom w:val="single" w:color="auto" w:sz="4" w:space="0"/>
              <w:right w:val="single" w:color="auto" w:sz="4" w:space="0"/>
            </w:tcBorders>
            <w:vAlign w:val="center"/>
          </w:tcPr>
          <w:p w14:paraId="565C0FD8">
            <w:pPr>
              <w:widowControl/>
              <w:spacing w:line="440" w:lineRule="exact"/>
              <w:jc w:val="left"/>
              <w:rPr>
                <w:rFonts w:ascii="宋体" w:hAnsi="宋体" w:cs="宋体"/>
                <w:color w:val="auto"/>
                <w:sz w:val="22"/>
                <w:szCs w:val="22"/>
                <w:highlight w:val="none"/>
              </w:rPr>
            </w:pPr>
            <w:r>
              <w:rPr>
                <w:rFonts w:hint="eastAsia" w:ascii="宋体" w:hAnsi="宋体" w:cs="宋体"/>
                <w:b/>
                <w:bCs/>
                <w:color w:val="auto"/>
                <w:sz w:val="22"/>
                <w:szCs w:val="22"/>
                <w:highlight w:val="none"/>
              </w:rPr>
              <w:t>电子招标采购平台交易服务费</w:t>
            </w:r>
          </w:p>
        </w:tc>
        <w:tc>
          <w:tcPr>
            <w:tcW w:w="6571" w:type="dxa"/>
            <w:tcBorders>
              <w:top w:val="single" w:color="auto" w:sz="4" w:space="0"/>
              <w:left w:val="single" w:color="auto" w:sz="4" w:space="0"/>
              <w:bottom w:val="single" w:color="auto" w:sz="4" w:space="0"/>
              <w:right w:val="single" w:color="auto" w:sz="4" w:space="0"/>
            </w:tcBorders>
            <w:vAlign w:val="center"/>
          </w:tcPr>
          <w:p w14:paraId="13ACF9EC">
            <w:pPr>
              <w:widowControl/>
              <w:spacing w:line="440" w:lineRule="exact"/>
              <w:ind w:hanging="4"/>
              <w:jc w:val="left"/>
              <w:rPr>
                <w:rFonts w:ascii="宋体" w:hAnsi="宋体" w:cs="宋体"/>
                <w:color w:val="auto"/>
                <w:sz w:val="22"/>
                <w:szCs w:val="22"/>
                <w:highlight w:val="none"/>
              </w:rPr>
            </w:pPr>
            <w:r>
              <w:rPr>
                <w:rFonts w:hint="eastAsia" w:ascii="宋体" w:hAnsi="宋体" w:cs="宋体"/>
                <w:color w:val="auto"/>
                <w:sz w:val="22"/>
                <w:szCs w:val="22"/>
                <w:highlight w:val="none"/>
              </w:rPr>
              <w:t>本项目采用电子招标，中标人须在明确中标后、获取中标通知书前将相应的交易服务费缴入平台指定的集团账户（在“投标管家”工具中查看）。</w:t>
            </w:r>
          </w:p>
          <w:p w14:paraId="4D3FBD21">
            <w:pPr>
              <w:widowControl/>
              <w:spacing w:line="440" w:lineRule="exact"/>
              <w:ind w:hanging="4"/>
              <w:jc w:val="left"/>
              <w:rPr>
                <w:rFonts w:ascii="宋体" w:hAnsi="宋体" w:cs="宋体"/>
                <w:color w:val="auto"/>
                <w:sz w:val="22"/>
                <w:szCs w:val="22"/>
                <w:highlight w:val="none"/>
              </w:rPr>
            </w:pPr>
            <w:r>
              <w:rPr>
                <w:rFonts w:hint="eastAsia" w:ascii="宋体" w:hAnsi="宋体" w:cs="宋体"/>
                <w:color w:val="auto"/>
                <w:sz w:val="22"/>
                <w:szCs w:val="22"/>
                <w:highlight w:val="none"/>
              </w:rPr>
              <w:t>具体收费标准如下：</w:t>
            </w:r>
          </w:p>
          <w:p w14:paraId="44E6E6EE">
            <w:pPr>
              <w:pStyle w:val="83"/>
              <w:spacing w:line="440" w:lineRule="exact"/>
              <w:ind w:hanging="4"/>
              <w:jc w:val="left"/>
              <w:rPr>
                <w:rFonts w:ascii="宋体" w:hAnsi="宋体" w:cs="宋体"/>
                <w:b/>
                <w:color w:val="auto"/>
                <w:sz w:val="22"/>
                <w:szCs w:val="22"/>
                <w:highlight w:val="none"/>
              </w:rPr>
            </w:pPr>
            <w:r>
              <w:rPr>
                <w:rFonts w:hint="eastAsia" w:ascii="宋体" w:hAnsi="宋体" w:cs="宋体"/>
                <w:b/>
                <w:color w:val="auto"/>
                <w:sz w:val="22"/>
                <w:szCs w:val="22"/>
                <w:highlight w:val="none"/>
              </w:rPr>
              <w:t>集团电子招标采购平台交易服务费收取标准</w:t>
            </w:r>
          </w:p>
          <w:tbl>
            <w:tblPr>
              <w:tblStyle w:val="30"/>
              <w:tblW w:w="6418" w:type="dxa"/>
              <w:jc w:val="center"/>
              <w:tblLayout w:type="fixed"/>
              <w:tblCellMar>
                <w:top w:w="0" w:type="dxa"/>
                <w:left w:w="108" w:type="dxa"/>
                <w:bottom w:w="0" w:type="dxa"/>
                <w:right w:w="108" w:type="dxa"/>
              </w:tblCellMar>
            </w:tblPr>
            <w:tblGrid>
              <w:gridCol w:w="4701"/>
              <w:gridCol w:w="1717"/>
            </w:tblGrid>
            <w:tr w14:paraId="666ED344">
              <w:tblPrEx>
                <w:tblCellMar>
                  <w:top w:w="0" w:type="dxa"/>
                  <w:left w:w="108" w:type="dxa"/>
                  <w:bottom w:w="0" w:type="dxa"/>
                  <w:right w:w="108" w:type="dxa"/>
                </w:tblCellMar>
              </w:tblPrEx>
              <w:trPr>
                <w:trHeight w:val="31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6D9C1BCA">
                  <w:pPr>
                    <w:widowControl/>
                    <w:spacing w:line="440" w:lineRule="exact"/>
                    <w:ind w:hanging="4"/>
                    <w:jc w:val="left"/>
                    <w:rPr>
                      <w:rFonts w:ascii="宋体" w:hAnsi="宋体" w:cs="宋体"/>
                      <w:color w:val="auto"/>
                      <w:sz w:val="22"/>
                      <w:szCs w:val="22"/>
                      <w:highlight w:val="none"/>
                    </w:rPr>
                  </w:pPr>
                  <w:r>
                    <w:rPr>
                      <w:rFonts w:hint="eastAsia" w:ascii="宋体" w:hAnsi="宋体" w:cs="宋体"/>
                      <w:color w:val="auto"/>
                      <w:kern w:val="0"/>
                      <w:sz w:val="22"/>
                      <w:szCs w:val="22"/>
                      <w:highlight w:val="none"/>
                    </w:rPr>
                    <w:t>中标价</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42B02C1B">
                  <w:pPr>
                    <w:widowControl/>
                    <w:spacing w:line="440" w:lineRule="exact"/>
                    <w:ind w:hanging="4"/>
                    <w:jc w:val="left"/>
                    <w:rPr>
                      <w:rFonts w:ascii="宋体" w:hAnsi="宋体" w:cs="宋体"/>
                      <w:color w:val="auto"/>
                      <w:sz w:val="22"/>
                      <w:szCs w:val="22"/>
                      <w:highlight w:val="none"/>
                    </w:rPr>
                  </w:pPr>
                  <w:r>
                    <w:rPr>
                      <w:rFonts w:hint="eastAsia" w:ascii="宋体" w:hAnsi="宋体" w:cs="宋体"/>
                      <w:color w:val="auto"/>
                      <w:kern w:val="0"/>
                      <w:sz w:val="22"/>
                      <w:szCs w:val="22"/>
                      <w:highlight w:val="none"/>
                    </w:rPr>
                    <w:t>收费标准（万元）</w:t>
                  </w:r>
                </w:p>
              </w:tc>
            </w:tr>
            <w:tr w14:paraId="7B65CB54">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42133CE2">
                  <w:pPr>
                    <w:widowControl/>
                    <w:spacing w:line="440" w:lineRule="exact"/>
                    <w:ind w:hanging="4"/>
                    <w:jc w:val="left"/>
                    <w:rPr>
                      <w:rFonts w:ascii="宋体" w:hAnsi="宋体" w:cs="宋体"/>
                      <w:color w:val="auto"/>
                      <w:sz w:val="22"/>
                      <w:szCs w:val="22"/>
                      <w:highlight w:val="none"/>
                    </w:rPr>
                  </w:pPr>
                  <w:r>
                    <w:rPr>
                      <w:rFonts w:hint="eastAsia" w:ascii="宋体" w:hAnsi="宋体" w:cs="宋体"/>
                      <w:color w:val="auto"/>
                      <w:kern w:val="0"/>
                      <w:sz w:val="22"/>
                      <w:szCs w:val="22"/>
                      <w:highlight w:val="none"/>
                    </w:rPr>
                    <w:t>200万(含）以下</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706BD9F2">
                  <w:pPr>
                    <w:spacing w:line="440" w:lineRule="exact"/>
                    <w:ind w:hanging="4"/>
                    <w:jc w:val="left"/>
                    <w:rPr>
                      <w:rFonts w:ascii="宋体" w:hAnsi="宋体" w:cs="宋体"/>
                      <w:color w:val="auto"/>
                      <w:sz w:val="22"/>
                      <w:szCs w:val="22"/>
                      <w:highlight w:val="none"/>
                    </w:rPr>
                  </w:pPr>
                  <w:r>
                    <w:rPr>
                      <w:rFonts w:hint="eastAsia" w:ascii="宋体" w:hAnsi="宋体" w:cs="宋体"/>
                      <w:color w:val="auto"/>
                      <w:kern w:val="0"/>
                      <w:sz w:val="22"/>
                      <w:szCs w:val="22"/>
                      <w:highlight w:val="none"/>
                    </w:rPr>
                    <w:t>0.1</w:t>
                  </w:r>
                </w:p>
              </w:tc>
            </w:tr>
            <w:tr w14:paraId="335B2F30">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7AE3B36E">
                  <w:pPr>
                    <w:widowControl/>
                    <w:spacing w:line="440" w:lineRule="exact"/>
                    <w:ind w:hanging="4"/>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200万-500万(含)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214950E8">
                  <w:pPr>
                    <w:spacing w:line="440" w:lineRule="exact"/>
                    <w:ind w:hanging="4"/>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0.25</w:t>
                  </w:r>
                </w:p>
              </w:tc>
            </w:tr>
            <w:tr w14:paraId="126F6CDF">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7D8EB60">
                  <w:pPr>
                    <w:widowControl/>
                    <w:spacing w:line="440" w:lineRule="exact"/>
                    <w:ind w:hanging="4"/>
                    <w:jc w:val="left"/>
                    <w:rPr>
                      <w:rFonts w:ascii="宋体" w:hAnsi="宋体" w:cs="宋体"/>
                      <w:color w:val="auto"/>
                      <w:sz w:val="22"/>
                      <w:szCs w:val="22"/>
                      <w:highlight w:val="none"/>
                    </w:rPr>
                  </w:pPr>
                  <w:r>
                    <w:rPr>
                      <w:rFonts w:hint="eastAsia" w:ascii="宋体" w:hAnsi="宋体" w:cs="宋体"/>
                      <w:color w:val="auto"/>
                      <w:kern w:val="0"/>
                      <w:sz w:val="22"/>
                      <w:szCs w:val="22"/>
                      <w:highlight w:val="none"/>
                    </w:rPr>
                    <w:t>500万-1000万(含)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41C22F88">
                  <w:pPr>
                    <w:widowControl/>
                    <w:spacing w:line="440" w:lineRule="exact"/>
                    <w:ind w:hanging="4"/>
                    <w:jc w:val="left"/>
                    <w:rPr>
                      <w:rFonts w:ascii="宋体" w:hAnsi="宋体" w:cs="宋体"/>
                      <w:color w:val="auto"/>
                      <w:sz w:val="22"/>
                      <w:szCs w:val="22"/>
                      <w:highlight w:val="none"/>
                    </w:rPr>
                  </w:pPr>
                  <w:r>
                    <w:rPr>
                      <w:rFonts w:hint="eastAsia" w:ascii="宋体" w:hAnsi="宋体" w:cs="宋体"/>
                      <w:color w:val="auto"/>
                      <w:kern w:val="0"/>
                      <w:sz w:val="22"/>
                      <w:szCs w:val="22"/>
                      <w:highlight w:val="none"/>
                    </w:rPr>
                    <w:t>0.75</w:t>
                  </w:r>
                </w:p>
              </w:tc>
            </w:tr>
            <w:tr w14:paraId="6E94CD6C">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23A83B86">
                  <w:pPr>
                    <w:widowControl/>
                    <w:spacing w:line="440" w:lineRule="exact"/>
                    <w:ind w:hanging="4"/>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1000万-2000万(含)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6EDCDB03">
                  <w:pPr>
                    <w:widowControl/>
                    <w:spacing w:line="440" w:lineRule="exact"/>
                    <w:ind w:hanging="4"/>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1.25</w:t>
                  </w:r>
                </w:p>
              </w:tc>
            </w:tr>
            <w:tr w14:paraId="23534EA9">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117B734A">
                  <w:pPr>
                    <w:widowControl/>
                    <w:spacing w:line="440" w:lineRule="exact"/>
                    <w:ind w:hanging="4"/>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2000万-5000万(含)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6C8D43C6">
                  <w:pPr>
                    <w:widowControl/>
                    <w:spacing w:line="440" w:lineRule="exact"/>
                    <w:ind w:hanging="4"/>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1.75</w:t>
                  </w:r>
                </w:p>
              </w:tc>
            </w:tr>
            <w:tr w14:paraId="353FC33F">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62DC322">
                  <w:pPr>
                    <w:widowControl/>
                    <w:spacing w:line="440" w:lineRule="exact"/>
                    <w:ind w:hanging="4"/>
                    <w:jc w:val="left"/>
                    <w:rPr>
                      <w:rFonts w:ascii="宋体" w:hAnsi="宋体" w:cs="宋体"/>
                      <w:color w:val="auto"/>
                      <w:sz w:val="22"/>
                      <w:szCs w:val="22"/>
                      <w:highlight w:val="none"/>
                    </w:rPr>
                  </w:pPr>
                  <w:r>
                    <w:rPr>
                      <w:rFonts w:hint="eastAsia" w:ascii="宋体" w:hAnsi="宋体" w:cs="宋体"/>
                      <w:color w:val="auto"/>
                      <w:kern w:val="0"/>
                      <w:sz w:val="22"/>
                      <w:szCs w:val="22"/>
                      <w:highlight w:val="none"/>
                    </w:rPr>
                    <w:t>5000万-1亿(含)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759B55F8">
                  <w:pPr>
                    <w:widowControl/>
                    <w:spacing w:line="440" w:lineRule="exact"/>
                    <w:ind w:hanging="4"/>
                    <w:jc w:val="left"/>
                    <w:rPr>
                      <w:rFonts w:ascii="宋体" w:hAnsi="宋体" w:cs="宋体"/>
                      <w:color w:val="auto"/>
                      <w:sz w:val="22"/>
                      <w:szCs w:val="22"/>
                      <w:highlight w:val="none"/>
                    </w:rPr>
                  </w:pPr>
                  <w:r>
                    <w:rPr>
                      <w:rFonts w:hint="eastAsia" w:ascii="宋体" w:hAnsi="宋体" w:cs="宋体"/>
                      <w:color w:val="auto"/>
                      <w:kern w:val="0"/>
                      <w:sz w:val="22"/>
                      <w:szCs w:val="22"/>
                      <w:highlight w:val="none"/>
                    </w:rPr>
                    <w:t>2.5</w:t>
                  </w:r>
                </w:p>
              </w:tc>
            </w:tr>
            <w:tr w14:paraId="2050EFEB">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22CA0921">
                  <w:pPr>
                    <w:widowControl/>
                    <w:spacing w:line="440" w:lineRule="exact"/>
                    <w:ind w:hanging="4"/>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1亿-5亿(含)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2C0F6701">
                  <w:pPr>
                    <w:widowControl/>
                    <w:spacing w:line="440" w:lineRule="exact"/>
                    <w:ind w:hanging="4"/>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3.5</w:t>
                  </w:r>
                </w:p>
              </w:tc>
            </w:tr>
            <w:tr w14:paraId="02D423EA">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3B4DD0D4">
                  <w:pPr>
                    <w:widowControl/>
                    <w:spacing w:line="440" w:lineRule="exact"/>
                    <w:ind w:hanging="4"/>
                    <w:jc w:val="left"/>
                    <w:rPr>
                      <w:rFonts w:ascii="宋体" w:hAnsi="宋体" w:cs="宋体"/>
                      <w:color w:val="auto"/>
                      <w:sz w:val="22"/>
                      <w:szCs w:val="22"/>
                      <w:highlight w:val="none"/>
                    </w:rPr>
                  </w:pPr>
                  <w:r>
                    <w:rPr>
                      <w:rFonts w:hint="eastAsia" w:ascii="宋体" w:hAnsi="宋体" w:cs="宋体"/>
                      <w:color w:val="auto"/>
                      <w:kern w:val="0"/>
                      <w:sz w:val="22"/>
                      <w:szCs w:val="22"/>
                      <w:highlight w:val="none"/>
                    </w:rPr>
                    <w:t>5万—10亿(含)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709AD525">
                  <w:pPr>
                    <w:widowControl/>
                    <w:spacing w:line="440" w:lineRule="exact"/>
                    <w:ind w:hanging="4"/>
                    <w:jc w:val="left"/>
                    <w:rPr>
                      <w:rFonts w:ascii="宋体" w:hAnsi="宋体" w:cs="宋体"/>
                      <w:color w:val="auto"/>
                      <w:sz w:val="22"/>
                      <w:szCs w:val="22"/>
                      <w:highlight w:val="none"/>
                    </w:rPr>
                  </w:pPr>
                  <w:r>
                    <w:rPr>
                      <w:rFonts w:hint="eastAsia" w:ascii="宋体" w:hAnsi="宋体" w:cs="宋体"/>
                      <w:color w:val="auto"/>
                      <w:kern w:val="0"/>
                      <w:sz w:val="22"/>
                      <w:szCs w:val="22"/>
                      <w:highlight w:val="none"/>
                    </w:rPr>
                    <w:t>5</w:t>
                  </w:r>
                </w:p>
              </w:tc>
            </w:tr>
            <w:tr w14:paraId="0662E5F1">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2EE422C3">
                  <w:pPr>
                    <w:widowControl/>
                    <w:spacing w:line="440" w:lineRule="exact"/>
                    <w:ind w:hanging="4"/>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10亿以上</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1023A4F6">
                  <w:pPr>
                    <w:widowControl/>
                    <w:spacing w:line="440" w:lineRule="exact"/>
                    <w:ind w:hanging="4"/>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r>
            <w:tr w14:paraId="05DA880C">
              <w:tblPrEx>
                <w:tblCellMar>
                  <w:top w:w="0" w:type="dxa"/>
                  <w:left w:w="108" w:type="dxa"/>
                  <w:bottom w:w="0" w:type="dxa"/>
                  <w:right w:w="108" w:type="dxa"/>
                </w:tblCellMar>
              </w:tblPrEx>
              <w:trPr>
                <w:trHeight w:val="1932" w:hRule="atLeast"/>
                <w:jc w:val="center"/>
              </w:trPr>
              <w:tc>
                <w:tcPr>
                  <w:tcW w:w="6418" w:type="dxa"/>
                  <w:gridSpan w:val="2"/>
                  <w:tcBorders>
                    <w:top w:val="single" w:color="000000" w:sz="4" w:space="0"/>
                    <w:left w:val="single" w:color="000000" w:sz="4" w:space="0"/>
                    <w:bottom w:val="single" w:color="000000" w:sz="4" w:space="0"/>
                    <w:right w:val="single" w:color="000000" w:sz="4" w:space="0"/>
                  </w:tcBorders>
                  <w:noWrap/>
                  <w:vAlign w:val="center"/>
                </w:tcPr>
                <w:p w14:paraId="71806DC1">
                  <w:pPr>
                    <w:spacing w:line="440" w:lineRule="exact"/>
                    <w:ind w:hanging="4"/>
                    <w:jc w:val="left"/>
                    <w:rPr>
                      <w:rFonts w:ascii="宋体" w:hAnsi="宋体" w:cs="宋体"/>
                      <w:color w:val="auto"/>
                      <w:kern w:val="58"/>
                      <w:sz w:val="22"/>
                      <w:szCs w:val="22"/>
                      <w:highlight w:val="none"/>
                    </w:rPr>
                  </w:pPr>
                  <w:r>
                    <w:rPr>
                      <w:rFonts w:hint="eastAsia" w:ascii="宋体" w:hAnsi="宋体" w:cs="宋体"/>
                      <w:color w:val="auto"/>
                      <w:kern w:val="58"/>
                      <w:sz w:val="22"/>
                      <w:szCs w:val="22"/>
                      <w:highlight w:val="none"/>
                    </w:rPr>
                    <w:t>注：</w:t>
                  </w:r>
                </w:p>
                <w:p w14:paraId="34EFD3BA">
                  <w:pPr>
                    <w:spacing w:line="440" w:lineRule="exact"/>
                    <w:ind w:hanging="4"/>
                    <w:jc w:val="left"/>
                    <w:rPr>
                      <w:rFonts w:ascii="宋体" w:hAnsi="宋体" w:cs="宋体"/>
                      <w:color w:val="auto"/>
                      <w:kern w:val="58"/>
                      <w:sz w:val="22"/>
                      <w:szCs w:val="22"/>
                      <w:highlight w:val="none"/>
                    </w:rPr>
                  </w:pPr>
                  <w:r>
                    <w:rPr>
                      <w:rFonts w:hint="eastAsia" w:ascii="宋体" w:hAnsi="宋体" w:cs="宋体"/>
                      <w:color w:val="auto"/>
                      <w:kern w:val="58"/>
                      <w:sz w:val="22"/>
                      <w:szCs w:val="22"/>
                      <w:highlight w:val="none"/>
                    </w:rPr>
                    <w:t>1.交易服务费由中标单位承担。</w:t>
                  </w:r>
                </w:p>
                <w:p w14:paraId="7E09D109">
                  <w:pPr>
                    <w:spacing w:line="440" w:lineRule="exact"/>
                    <w:ind w:hanging="4"/>
                    <w:jc w:val="left"/>
                    <w:rPr>
                      <w:rFonts w:ascii="宋体" w:hAnsi="宋体" w:cs="宋体"/>
                      <w:color w:val="auto"/>
                      <w:kern w:val="58"/>
                      <w:sz w:val="22"/>
                      <w:szCs w:val="22"/>
                      <w:highlight w:val="none"/>
                    </w:rPr>
                  </w:pPr>
                  <w:r>
                    <w:rPr>
                      <w:rFonts w:hint="eastAsia" w:ascii="宋体" w:hAnsi="宋体" w:cs="宋体"/>
                      <w:color w:val="auto"/>
                      <w:kern w:val="58"/>
                      <w:sz w:val="22"/>
                      <w:szCs w:val="22"/>
                      <w:highlight w:val="none"/>
                    </w:rPr>
                    <w:t>2.对于招标服务期在1年以上且按每年报价的项目,交易服务费按1年的中标金额计取。</w:t>
                  </w:r>
                </w:p>
                <w:p w14:paraId="66752A7E">
                  <w:pPr>
                    <w:spacing w:line="440" w:lineRule="exact"/>
                    <w:ind w:hanging="4"/>
                    <w:jc w:val="left"/>
                    <w:rPr>
                      <w:rFonts w:ascii="宋体" w:hAnsi="宋体" w:cs="宋体"/>
                      <w:color w:val="auto"/>
                      <w:kern w:val="58"/>
                      <w:sz w:val="22"/>
                      <w:szCs w:val="22"/>
                      <w:highlight w:val="none"/>
                    </w:rPr>
                  </w:pPr>
                  <w:r>
                    <w:rPr>
                      <w:rFonts w:hint="eastAsia" w:ascii="宋体" w:hAnsi="宋体" w:cs="宋体"/>
                      <w:color w:val="auto"/>
                      <w:kern w:val="58"/>
                      <w:sz w:val="22"/>
                      <w:szCs w:val="22"/>
                      <w:highlight w:val="none"/>
                    </w:rPr>
                    <w:t>3.对于无具体交易(中标)金额的限额以上招标采购项目参照项目计划金额计取,对于无具体交易(中标)金额的限额以下招标采购项目按每个项目1000元计取，多家中标人费用平摊。</w:t>
                  </w:r>
                </w:p>
                <w:p w14:paraId="374B5436">
                  <w:pPr>
                    <w:spacing w:line="440" w:lineRule="exact"/>
                    <w:ind w:hanging="4"/>
                    <w:jc w:val="left"/>
                    <w:rPr>
                      <w:rFonts w:ascii="宋体" w:hAnsi="宋体" w:cs="宋体"/>
                      <w:color w:val="auto"/>
                      <w:sz w:val="22"/>
                      <w:szCs w:val="22"/>
                      <w:highlight w:val="none"/>
                    </w:rPr>
                  </w:pPr>
                  <w:r>
                    <w:rPr>
                      <w:rFonts w:hint="eastAsia" w:ascii="宋体" w:hAnsi="宋体" w:cs="宋体"/>
                      <w:color w:val="auto"/>
                      <w:kern w:val="58"/>
                      <w:sz w:val="22"/>
                      <w:szCs w:val="22"/>
                      <w:highlight w:val="none"/>
                    </w:rPr>
                    <w:t>4.限额以下非招标项目按实际成交价0.2%收取交易服务费，最高不超过500元，5万元以下项目免收交易服务费。</w:t>
                  </w:r>
                </w:p>
              </w:tc>
            </w:tr>
          </w:tbl>
          <w:p w14:paraId="761CA336">
            <w:pPr>
              <w:spacing w:line="440" w:lineRule="exact"/>
              <w:jc w:val="left"/>
              <w:rPr>
                <w:rFonts w:ascii="宋体" w:hAnsi="宋体" w:cs="宋体"/>
                <w:color w:val="auto"/>
                <w:sz w:val="22"/>
                <w:szCs w:val="22"/>
                <w:highlight w:val="none"/>
              </w:rPr>
            </w:pPr>
          </w:p>
        </w:tc>
      </w:tr>
    </w:tbl>
    <w:p w14:paraId="2794BCC5">
      <w:pPr>
        <w:ind w:firstLine="527" w:firstLineChars="250"/>
        <w:rPr>
          <w:rFonts w:ascii="宋体" w:hAnsi="宋体"/>
          <w:b/>
          <w:color w:val="auto"/>
          <w:szCs w:val="21"/>
          <w:highlight w:val="none"/>
        </w:rPr>
      </w:pPr>
    </w:p>
    <w:p w14:paraId="66DD5ED5">
      <w:pPr>
        <w:widowControl/>
        <w:jc w:val="left"/>
        <w:rPr>
          <w:b/>
          <w:color w:val="auto"/>
          <w:highlight w:val="none"/>
        </w:rPr>
      </w:pPr>
      <w:r>
        <w:rPr>
          <w:rFonts w:ascii="宋体" w:hAnsi="宋体"/>
          <w:b/>
          <w:color w:val="auto"/>
          <w:szCs w:val="21"/>
          <w:highlight w:val="none"/>
        </w:rPr>
        <w:br w:type="page"/>
      </w:r>
      <w:bookmarkStart w:id="20" w:name="_Toc50128379"/>
    </w:p>
    <w:p w14:paraId="06C2B8C1">
      <w:pPr>
        <w:pStyle w:val="22"/>
        <w:outlineLvl w:val="2"/>
        <w:rPr>
          <w:color w:val="auto"/>
          <w:sz w:val="28"/>
          <w:highlight w:val="none"/>
        </w:rPr>
      </w:pPr>
      <w:bookmarkStart w:id="21" w:name="_Toc392"/>
      <w:r>
        <w:rPr>
          <w:rFonts w:hint="eastAsia"/>
          <w:color w:val="auto"/>
          <w:sz w:val="28"/>
          <w:highlight w:val="none"/>
        </w:rPr>
        <w:t>一   总  则</w:t>
      </w:r>
      <w:bookmarkEnd w:id="20"/>
      <w:bookmarkEnd w:id="21"/>
    </w:p>
    <w:p w14:paraId="49490297">
      <w:pPr>
        <w:snapToGrid w:val="0"/>
        <w:spacing w:line="440" w:lineRule="exact"/>
        <w:ind w:firstLine="433" w:firstLineChars="196"/>
        <w:jc w:val="left"/>
        <w:outlineLvl w:val="3"/>
        <w:rPr>
          <w:rFonts w:ascii="宋体" w:hAnsi="宋体" w:cs="宋体"/>
          <w:b/>
          <w:color w:val="auto"/>
          <w:sz w:val="22"/>
          <w:szCs w:val="22"/>
          <w:highlight w:val="none"/>
        </w:rPr>
      </w:pPr>
      <w:bookmarkStart w:id="22" w:name="_Toc50128380"/>
      <w:r>
        <w:rPr>
          <w:rFonts w:hint="eastAsia" w:ascii="宋体" w:hAnsi="宋体" w:cs="宋体"/>
          <w:b/>
          <w:color w:val="auto"/>
          <w:sz w:val="22"/>
          <w:szCs w:val="22"/>
          <w:highlight w:val="none"/>
        </w:rPr>
        <w:t>（一）适用范围</w:t>
      </w:r>
      <w:bookmarkEnd w:id="22"/>
    </w:p>
    <w:p w14:paraId="2D14E84F">
      <w:pPr>
        <w:snapToGrid w:val="0"/>
        <w:spacing w:line="44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rPr>
        <w:t>本招标文件适用于温州港乐清湾港务有限公司组织的</w:t>
      </w:r>
      <w:r>
        <w:rPr>
          <w:rFonts w:hint="eastAsia" w:ascii="宋体" w:hAnsi="宋体" w:cs="宋体"/>
          <w:color w:val="auto"/>
          <w:sz w:val="22"/>
          <w:szCs w:val="22"/>
          <w:highlight w:val="none"/>
          <w:lang w:eastAsia="zh-CN"/>
        </w:rPr>
        <w:t>温州港乐清湾港区A区一期集装箱能力提升工程环境影响评价</w:t>
      </w:r>
      <w:r>
        <w:rPr>
          <w:rFonts w:hint="eastAsia" w:ascii="宋体" w:hAnsi="宋体" w:cs="宋体"/>
          <w:color w:val="auto"/>
          <w:sz w:val="22"/>
          <w:szCs w:val="22"/>
          <w:highlight w:val="none"/>
        </w:rPr>
        <w:t>的项目招</w:t>
      </w:r>
      <w:r>
        <w:rPr>
          <w:rFonts w:hint="eastAsia" w:ascii="宋体" w:hAnsi="宋体" w:cs="宋体"/>
          <w:bCs/>
          <w:color w:val="auto"/>
          <w:sz w:val="22"/>
          <w:szCs w:val="22"/>
          <w:highlight w:val="none"/>
        </w:rPr>
        <w:t>标</w:t>
      </w:r>
      <w:r>
        <w:rPr>
          <w:rFonts w:hint="eastAsia" w:ascii="宋体" w:hAnsi="宋体" w:cs="宋体"/>
          <w:color w:val="auto"/>
          <w:sz w:val="22"/>
          <w:szCs w:val="22"/>
          <w:highlight w:val="none"/>
        </w:rPr>
        <w:t>、投标、评标、定标、验收、合同履约、付款等行为（法律、法规另有规定的，从其规定）。</w:t>
      </w:r>
    </w:p>
    <w:p w14:paraId="210950B1">
      <w:pPr>
        <w:snapToGrid w:val="0"/>
        <w:spacing w:line="440" w:lineRule="exact"/>
        <w:ind w:firstLine="433" w:firstLineChars="196"/>
        <w:jc w:val="left"/>
        <w:outlineLvl w:val="3"/>
        <w:rPr>
          <w:rFonts w:ascii="宋体" w:hAnsi="宋体" w:cs="宋体"/>
          <w:b/>
          <w:color w:val="auto"/>
          <w:sz w:val="22"/>
          <w:szCs w:val="22"/>
          <w:highlight w:val="none"/>
        </w:rPr>
      </w:pPr>
      <w:r>
        <w:rPr>
          <w:rFonts w:hint="eastAsia" w:ascii="宋体" w:hAnsi="宋体" w:cs="宋体"/>
          <w:b/>
          <w:color w:val="auto"/>
          <w:sz w:val="22"/>
          <w:szCs w:val="22"/>
          <w:highlight w:val="none"/>
        </w:rPr>
        <w:t>（二）定义</w:t>
      </w:r>
    </w:p>
    <w:p w14:paraId="26077106">
      <w:pPr>
        <w:pStyle w:val="16"/>
        <w:snapToGrid w:val="0"/>
        <w:spacing w:beforeLines="0" w:afterLines="0" w:line="440" w:lineRule="exact"/>
        <w:ind w:firstLine="440" w:firstLineChars="200"/>
        <w:jc w:val="left"/>
        <w:rPr>
          <w:rFonts w:hAnsi="宋体" w:cs="宋体"/>
          <w:color w:val="auto"/>
          <w:kern w:val="2"/>
          <w:sz w:val="22"/>
          <w:szCs w:val="22"/>
          <w:highlight w:val="none"/>
        </w:rPr>
      </w:pPr>
      <w:r>
        <w:rPr>
          <w:rFonts w:hint="eastAsia" w:hAnsi="宋体" w:cs="宋体"/>
          <w:color w:val="auto"/>
          <w:kern w:val="2"/>
          <w:sz w:val="22"/>
          <w:szCs w:val="22"/>
          <w:highlight w:val="none"/>
        </w:rPr>
        <w:t>1.“招标人”系指组织本次招标的单位：温州港乐清湾港务有限公司</w:t>
      </w:r>
    </w:p>
    <w:p w14:paraId="66D2EF62">
      <w:pPr>
        <w:pStyle w:val="16"/>
        <w:snapToGrid w:val="0"/>
        <w:spacing w:beforeLines="0" w:afterLines="0" w:line="440" w:lineRule="exact"/>
        <w:ind w:firstLine="435" w:firstLineChars="198"/>
        <w:jc w:val="left"/>
        <w:rPr>
          <w:rFonts w:hAnsi="宋体" w:cs="宋体"/>
          <w:color w:val="auto"/>
          <w:kern w:val="2"/>
          <w:sz w:val="22"/>
          <w:szCs w:val="22"/>
          <w:highlight w:val="none"/>
        </w:rPr>
      </w:pPr>
      <w:r>
        <w:rPr>
          <w:rFonts w:hint="eastAsia" w:hAnsi="宋体" w:cs="宋体"/>
          <w:color w:val="auto"/>
          <w:kern w:val="2"/>
          <w:sz w:val="22"/>
          <w:szCs w:val="22"/>
          <w:highlight w:val="none"/>
        </w:rPr>
        <w:t>2.“招标代理机构”系指：华信咨询设计研究院有限公司</w:t>
      </w:r>
    </w:p>
    <w:p w14:paraId="615E2986">
      <w:pPr>
        <w:pStyle w:val="16"/>
        <w:snapToGrid w:val="0"/>
        <w:spacing w:beforeLines="0" w:afterLines="0" w:line="440" w:lineRule="exact"/>
        <w:ind w:firstLine="440" w:firstLineChars="200"/>
        <w:jc w:val="left"/>
        <w:rPr>
          <w:rFonts w:hAnsi="宋体" w:cs="宋体"/>
          <w:color w:val="auto"/>
          <w:kern w:val="2"/>
          <w:sz w:val="22"/>
          <w:szCs w:val="22"/>
          <w:highlight w:val="none"/>
        </w:rPr>
      </w:pPr>
      <w:r>
        <w:rPr>
          <w:rFonts w:hint="eastAsia" w:hAnsi="宋体" w:cs="宋体"/>
          <w:color w:val="auto"/>
          <w:kern w:val="2"/>
          <w:sz w:val="22"/>
          <w:szCs w:val="22"/>
          <w:highlight w:val="none"/>
        </w:rPr>
        <w:t>3.“投标人”系指向招标人提交投标文件的单位。</w:t>
      </w:r>
    </w:p>
    <w:p w14:paraId="65ADB8BB">
      <w:pPr>
        <w:pStyle w:val="16"/>
        <w:snapToGrid w:val="0"/>
        <w:spacing w:beforeLines="0" w:afterLines="0" w:line="440" w:lineRule="exact"/>
        <w:ind w:firstLine="435" w:firstLineChars="198"/>
        <w:jc w:val="left"/>
        <w:rPr>
          <w:rFonts w:hAnsi="宋体" w:cs="宋体"/>
          <w:color w:val="auto"/>
          <w:kern w:val="2"/>
          <w:sz w:val="22"/>
          <w:szCs w:val="22"/>
          <w:highlight w:val="none"/>
        </w:rPr>
      </w:pPr>
      <w:r>
        <w:rPr>
          <w:rFonts w:hint="eastAsia" w:hAnsi="宋体" w:cs="宋体"/>
          <w:color w:val="auto"/>
          <w:kern w:val="2"/>
          <w:sz w:val="22"/>
          <w:szCs w:val="22"/>
          <w:highlight w:val="none"/>
        </w:rPr>
        <w:t>4.</w:t>
      </w:r>
      <w:r>
        <w:rPr>
          <w:rFonts w:hint="eastAsia" w:hAnsi="宋体" w:cs="宋体"/>
          <w:b/>
          <w:bCs/>
          <w:color w:val="auto"/>
          <w:kern w:val="2"/>
          <w:sz w:val="22"/>
          <w:szCs w:val="22"/>
          <w:highlight w:val="none"/>
        </w:rPr>
        <w:t>“中标人”</w:t>
      </w:r>
      <w:r>
        <w:rPr>
          <w:rFonts w:hint="eastAsia" w:hAnsi="宋体" w:cs="宋体"/>
          <w:b/>
          <w:bCs/>
          <w:color w:val="auto"/>
          <w:sz w:val="22"/>
          <w:szCs w:val="22"/>
          <w:highlight w:val="none"/>
        </w:rPr>
        <w:t>经</w:t>
      </w:r>
      <w:r>
        <w:rPr>
          <w:rFonts w:hint="eastAsia" w:hAnsi="宋体" w:cs="宋体"/>
          <w:b/>
          <w:color w:val="auto"/>
          <w:sz w:val="22"/>
          <w:szCs w:val="22"/>
          <w:highlight w:val="none"/>
        </w:rPr>
        <w:t>过招标、评标而最终被授予合同的投标人。</w:t>
      </w:r>
    </w:p>
    <w:p w14:paraId="003FB1A4">
      <w:pPr>
        <w:pStyle w:val="16"/>
        <w:snapToGrid w:val="0"/>
        <w:spacing w:beforeLines="0" w:afterLines="0" w:line="440" w:lineRule="exact"/>
        <w:ind w:firstLine="435" w:firstLineChars="198"/>
        <w:jc w:val="left"/>
        <w:rPr>
          <w:rFonts w:hAnsi="宋体" w:cs="宋体"/>
          <w:color w:val="auto"/>
          <w:kern w:val="2"/>
          <w:sz w:val="22"/>
          <w:szCs w:val="22"/>
          <w:highlight w:val="none"/>
        </w:rPr>
      </w:pPr>
      <w:r>
        <w:rPr>
          <w:rFonts w:hint="eastAsia" w:hAnsi="宋体" w:cs="宋体"/>
          <w:color w:val="auto"/>
          <w:kern w:val="2"/>
          <w:sz w:val="22"/>
          <w:szCs w:val="22"/>
          <w:highlight w:val="none"/>
        </w:rPr>
        <w:t>5.“投标人代表”系指全权代表投标人参加本次投标活动并签署投标文件的人，如果投标人代表不是投标人的法定代表人，须持有《法定代表人授权委托书》。</w:t>
      </w:r>
    </w:p>
    <w:p w14:paraId="19E2414C">
      <w:pPr>
        <w:pStyle w:val="16"/>
        <w:snapToGrid w:val="0"/>
        <w:spacing w:beforeLines="0" w:afterLines="0" w:line="440" w:lineRule="exact"/>
        <w:ind w:firstLine="440" w:firstLineChars="200"/>
        <w:jc w:val="left"/>
        <w:rPr>
          <w:rFonts w:hAnsi="宋体" w:cs="宋体"/>
          <w:color w:val="auto"/>
          <w:sz w:val="22"/>
          <w:szCs w:val="22"/>
          <w:highlight w:val="none"/>
        </w:rPr>
      </w:pPr>
      <w:r>
        <w:rPr>
          <w:rFonts w:hint="eastAsia" w:hAnsi="宋体" w:cs="宋体"/>
          <w:color w:val="auto"/>
          <w:kern w:val="2"/>
          <w:sz w:val="22"/>
          <w:szCs w:val="22"/>
          <w:highlight w:val="none"/>
        </w:rPr>
        <w:t>6.“项目”系指投标人按招标文件规定向招标人提供</w:t>
      </w:r>
      <w:r>
        <w:rPr>
          <w:rFonts w:hint="eastAsia" w:hAnsi="宋体" w:cs="宋体"/>
          <w:b/>
          <w:color w:val="auto"/>
          <w:sz w:val="22"/>
          <w:szCs w:val="22"/>
          <w:highlight w:val="none"/>
        </w:rPr>
        <w:t>产品及服务</w:t>
      </w:r>
      <w:r>
        <w:rPr>
          <w:rFonts w:hint="eastAsia" w:hAnsi="宋体" w:cs="宋体"/>
          <w:color w:val="auto"/>
          <w:sz w:val="22"/>
          <w:szCs w:val="22"/>
          <w:highlight w:val="none"/>
        </w:rPr>
        <w:t>。</w:t>
      </w:r>
    </w:p>
    <w:p w14:paraId="1CD43D82">
      <w:pPr>
        <w:snapToGrid w:val="0"/>
        <w:spacing w:line="440" w:lineRule="exact"/>
        <w:ind w:firstLine="442" w:firstLineChars="200"/>
        <w:jc w:val="left"/>
        <w:rPr>
          <w:rFonts w:ascii="宋体" w:hAnsi="宋体" w:cs="宋体"/>
          <w:b/>
          <w:color w:val="auto"/>
          <w:sz w:val="22"/>
          <w:szCs w:val="22"/>
          <w:highlight w:val="none"/>
        </w:rPr>
      </w:pPr>
      <w:r>
        <w:rPr>
          <w:rFonts w:hint="eastAsia" w:ascii="宋体" w:hAnsi="宋体" w:cs="宋体"/>
          <w:b/>
          <w:color w:val="auto"/>
          <w:sz w:val="22"/>
          <w:szCs w:val="22"/>
          <w:highlight w:val="none"/>
        </w:rPr>
        <w:t>7.“服务”系指招标文件规定的投标人须承担的安装、调试、技术协助、培训、技术指导以及其他类似的义务。</w:t>
      </w:r>
    </w:p>
    <w:p w14:paraId="5785D5E3">
      <w:pPr>
        <w:pStyle w:val="16"/>
        <w:snapToGrid w:val="0"/>
        <w:spacing w:beforeLines="0" w:afterLines="0" w:line="440" w:lineRule="exact"/>
        <w:ind w:firstLine="440" w:firstLineChars="200"/>
        <w:jc w:val="left"/>
        <w:rPr>
          <w:rFonts w:hAnsi="宋体" w:cs="宋体"/>
          <w:color w:val="auto"/>
          <w:sz w:val="22"/>
          <w:szCs w:val="22"/>
          <w:highlight w:val="none"/>
        </w:rPr>
      </w:pPr>
      <w:r>
        <w:rPr>
          <w:rFonts w:hint="eastAsia" w:hAnsi="宋体" w:cs="宋体"/>
          <w:color w:val="auto"/>
          <w:sz w:val="22"/>
          <w:szCs w:val="22"/>
          <w:highlight w:val="none"/>
        </w:rPr>
        <w:t>8.“书面形式”包括信函、传真等。</w:t>
      </w:r>
    </w:p>
    <w:p w14:paraId="4D81E8A2">
      <w:pPr>
        <w:pStyle w:val="16"/>
        <w:snapToGrid w:val="0"/>
        <w:spacing w:beforeLines="0" w:afterLines="0" w:line="440" w:lineRule="exact"/>
        <w:ind w:firstLine="440" w:firstLineChars="200"/>
        <w:jc w:val="left"/>
        <w:rPr>
          <w:rFonts w:hAnsi="宋体" w:cs="宋体"/>
          <w:color w:val="auto"/>
          <w:sz w:val="22"/>
          <w:szCs w:val="22"/>
          <w:highlight w:val="none"/>
        </w:rPr>
      </w:pPr>
      <w:r>
        <w:rPr>
          <w:rFonts w:hint="eastAsia" w:hAnsi="宋体" w:cs="宋体"/>
          <w:color w:val="auto"/>
          <w:sz w:val="22"/>
          <w:szCs w:val="22"/>
          <w:highlight w:val="none"/>
        </w:rPr>
        <w:t>9.“★”系指实质性要求条款。</w:t>
      </w:r>
    </w:p>
    <w:p w14:paraId="79067BE7">
      <w:pPr>
        <w:snapToGrid w:val="0"/>
        <w:spacing w:line="440" w:lineRule="exact"/>
        <w:ind w:firstLine="433" w:firstLineChars="196"/>
        <w:jc w:val="left"/>
        <w:outlineLvl w:val="3"/>
        <w:rPr>
          <w:rFonts w:ascii="宋体" w:hAnsi="宋体" w:cs="宋体"/>
          <w:b/>
          <w:color w:val="auto"/>
          <w:sz w:val="22"/>
          <w:szCs w:val="22"/>
          <w:highlight w:val="none"/>
        </w:rPr>
      </w:pPr>
      <w:bookmarkStart w:id="23" w:name="_Toc50128381"/>
      <w:r>
        <w:rPr>
          <w:rFonts w:hint="eastAsia" w:ascii="宋体" w:hAnsi="宋体" w:cs="宋体"/>
          <w:b/>
          <w:color w:val="auto"/>
          <w:sz w:val="22"/>
          <w:szCs w:val="22"/>
          <w:highlight w:val="none"/>
        </w:rPr>
        <w:t>（三）招标方式</w:t>
      </w:r>
      <w:bookmarkEnd w:id="23"/>
    </w:p>
    <w:p w14:paraId="3F2E4674">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本次招标采用公开招标方式进行。</w:t>
      </w:r>
    </w:p>
    <w:p w14:paraId="09A4E4A7">
      <w:pPr>
        <w:snapToGrid w:val="0"/>
        <w:spacing w:line="440" w:lineRule="exact"/>
        <w:ind w:firstLine="433" w:firstLineChars="196"/>
        <w:jc w:val="left"/>
        <w:outlineLvl w:val="3"/>
        <w:rPr>
          <w:rFonts w:ascii="宋体" w:hAnsi="宋体" w:cs="宋体"/>
          <w:b/>
          <w:color w:val="auto"/>
          <w:sz w:val="22"/>
          <w:szCs w:val="22"/>
          <w:highlight w:val="none"/>
        </w:rPr>
      </w:pPr>
      <w:bookmarkStart w:id="24" w:name="_Toc50128382"/>
      <w:r>
        <w:rPr>
          <w:rFonts w:hint="eastAsia" w:ascii="宋体" w:hAnsi="宋体" w:cs="宋体"/>
          <w:b/>
          <w:color w:val="auto"/>
          <w:sz w:val="22"/>
          <w:szCs w:val="22"/>
          <w:highlight w:val="none"/>
        </w:rPr>
        <w:t>（四）投标委托</w:t>
      </w:r>
      <w:bookmarkEnd w:id="24"/>
    </w:p>
    <w:p w14:paraId="60CBC199">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如投标人代表不是法定代表人，须有法定代表人出具的授权委托书（格式见第六章）。</w:t>
      </w:r>
    </w:p>
    <w:p w14:paraId="1C6C5308">
      <w:pPr>
        <w:snapToGrid w:val="0"/>
        <w:spacing w:line="440" w:lineRule="exact"/>
        <w:ind w:firstLine="433" w:firstLineChars="196"/>
        <w:jc w:val="left"/>
        <w:outlineLvl w:val="3"/>
        <w:rPr>
          <w:rFonts w:ascii="宋体" w:hAnsi="宋体" w:cs="宋体"/>
          <w:b/>
          <w:color w:val="auto"/>
          <w:sz w:val="22"/>
          <w:szCs w:val="22"/>
          <w:highlight w:val="none"/>
        </w:rPr>
      </w:pPr>
      <w:bookmarkStart w:id="25" w:name="_Toc50128383"/>
      <w:r>
        <w:rPr>
          <w:rFonts w:hint="eastAsia" w:ascii="宋体" w:hAnsi="宋体" w:cs="宋体"/>
          <w:b/>
          <w:color w:val="auto"/>
          <w:sz w:val="22"/>
          <w:szCs w:val="22"/>
          <w:highlight w:val="none"/>
        </w:rPr>
        <w:t>（五）投标费用</w:t>
      </w:r>
      <w:bookmarkEnd w:id="25"/>
    </w:p>
    <w:p w14:paraId="6E8D371A">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不论投标结果如何，投标人均应自行承担所有与投标有关的全部费用（招标文件有相反规定除外）。</w:t>
      </w:r>
    </w:p>
    <w:p w14:paraId="59BD6CAA">
      <w:pPr>
        <w:snapToGrid w:val="0"/>
        <w:spacing w:line="440" w:lineRule="exact"/>
        <w:ind w:firstLine="433" w:firstLineChars="196"/>
        <w:jc w:val="left"/>
        <w:outlineLvl w:val="3"/>
        <w:rPr>
          <w:rFonts w:ascii="宋体" w:hAnsi="宋体" w:cs="宋体"/>
          <w:b/>
          <w:color w:val="auto"/>
          <w:sz w:val="22"/>
          <w:szCs w:val="22"/>
          <w:highlight w:val="none"/>
        </w:rPr>
      </w:pPr>
      <w:r>
        <w:rPr>
          <w:rFonts w:hint="eastAsia" w:ascii="宋体" w:hAnsi="宋体" w:cs="宋体"/>
          <w:b/>
          <w:color w:val="auto"/>
          <w:sz w:val="22"/>
          <w:szCs w:val="22"/>
          <w:highlight w:val="none"/>
        </w:rPr>
        <w:t>（六）联合体投标</w:t>
      </w:r>
    </w:p>
    <w:p w14:paraId="0B1D5336">
      <w:pPr>
        <w:snapToGrid w:val="0"/>
        <w:spacing w:line="440" w:lineRule="exact"/>
        <w:ind w:firstLine="330" w:firstLineChars="150"/>
        <w:jc w:val="left"/>
        <w:rPr>
          <w:rFonts w:ascii="宋体" w:hAnsi="宋体" w:cs="宋体"/>
          <w:color w:val="auto"/>
          <w:sz w:val="22"/>
          <w:szCs w:val="22"/>
          <w:highlight w:val="none"/>
        </w:rPr>
      </w:pPr>
      <w:r>
        <w:rPr>
          <w:rFonts w:hint="eastAsia" w:ascii="宋体" w:hAnsi="宋体" w:cs="宋体"/>
          <w:color w:val="auto"/>
          <w:sz w:val="22"/>
          <w:szCs w:val="22"/>
          <w:highlight w:val="none"/>
        </w:rPr>
        <w:t>本项目</w:t>
      </w:r>
      <w:r>
        <w:rPr>
          <w:rFonts w:hint="eastAsia" w:ascii="宋体" w:hAnsi="宋体" w:cs="宋体"/>
          <w:color w:val="auto"/>
          <w:sz w:val="22"/>
          <w:szCs w:val="22"/>
          <w:highlight w:val="none"/>
          <w:u w:val="single"/>
        </w:rPr>
        <w:t>不允许</w:t>
      </w:r>
      <w:r>
        <w:rPr>
          <w:rFonts w:hint="eastAsia" w:ascii="宋体" w:hAnsi="宋体" w:cs="宋体"/>
          <w:color w:val="auto"/>
          <w:sz w:val="22"/>
          <w:szCs w:val="22"/>
          <w:highlight w:val="none"/>
        </w:rPr>
        <w:t>联合体投标。</w:t>
      </w:r>
    </w:p>
    <w:p w14:paraId="5DD1D621">
      <w:pPr>
        <w:snapToGrid w:val="0"/>
        <w:spacing w:line="440" w:lineRule="exact"/>
        <w:ind w:firstLine="433" w:firstLineChars="196"/>
        <w:jc w:val="left"/>
        <w:outlineLvl w:val="3"/>
        <w:rPr>
          <w:rFonts w:ascii="宋体" w:hAnsi="宋体" w:cs="宋体"/>
          <w:b/>
          <w:color w:val="auto"/>
          <w:sz w:val="22"/>
          <w:szCs w:val="22"/>
          <w:highlight w:val="none"/>
        </w:rPr>
      </w:pPr>
      <w:r>
        <w:rPr>
          <w:rFonts w:hint="eastAsia" w:ascii="宋体" w:hAnsi="宋体" w:cs="宋体"/>
          <w:b/>
          <w:color w:val="auto"/>
          <w:sz w:val="22"/>
          <w:szCs w:val="22"/>
          <w:highlight w:val="none"/>
        </w:rPr>
        <w:t>★（七）转包与分包</w:t>
      </w:r>
    </w:p>
    <w:p w14:paraId="29A1B631">
      <w:pPr>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本项目不允许分包转包</w:t>
      </w:r>
    </w:p>
    <w:p w14:paraId="79C4B641">
      <w:pPr>
        <w:snapToGrid w:val="0"/>
        <w:spacing w:line="440" w:lineRule="exact"/>
        <w:ind w:firstLine="433" w:firstLineChars="196"/>
        <w:jc w:val="left"/>
        <w:outlineLvl w:val="3"/>
        <w:rPr>
          <w:rFonts w:ascii="宋体" w:hAnsi="宋体" w:cs="宋体"/>
          <w:b/>
          <w:color w:val="auto"/>
          <w:sz w:val="22"/>
          <w:szCs w:val="22"/>
          <w:highlight w:val="none"/>
        </w:rPr>
      </w:pPr>
      <w:bookmarkStart w:id="26" w:name="_Toc50128384"/>
      <w:r>
        <w:rPr>
          <w:rFonts w:hint="eastAsia" w:ascii="宋体" w:hAnsi="宋体" w:cs="宋体"/>
          <w:b/>
          <w:color w:val="auto"/>
          <w:sz w:val="22"/>
          <w:szCs w:val="22"/>
          <w:highlight w:val="none"/>
        </w:rPr>
        <w:t>★（八）特别说明</w:t>
      </w:r>
      <w:bookmarkEnd w:id="26"/>
    </w:p>
    <w:p w14:paraId="697D644A">
      <w:pPr>
        <w:pStyle w:val="16"/>
        <w:snapToGrid w:val="0"/>
        <w:spacing w:beforeLines="0" w:afterLines="0" w:line="440" w:lineRule="exact"/>
        <w:ind w:firstLine="433" w:firstLineChars="196"/>
        <w:jc w:val="left"/>
        <w:rPr>
          <w:rFonts w:hAnsi="宋体" w:cs="宋体"/>
          <w:b/>
          <w:bCs/>
          <w:color w:val="auto"/>
          <w:sz w:val="22"/>
          <w:szCs w:val="22"/>
          <w:highlight w:val="none"/>
        </w:rPr>
      </w:pPr>
      <w:bookmarkStart w:id="27" w:name="_Toc50128385"/>
      <w:bookmarkStart w:id="28" w:name="_Toc50128388"/>
      <w:r>
        <w:rPr>
          <w:rFonts w:hint="eastAsia" w:hAnsi="宋体" w:cs="宋体"/>
          <w:b/>
          <w:bCs/>
          <w:color w:val="auto"/>
          <w:sz w:val="22"/>
          <w:szCs w:val="22"/>
          <w:highlight w:val="none"/>
        </w:rPr>
        <w:t>1.投标人投标所使用的资格、信誉、荣誉、业绩与企业认证必须为本公司所拥有。</w:t>
      </w:r>
      <w:bookmarkEnd w:id="27"/>
    </w:p>
    <w:p w14:paraId="75D8B48C">
      <w:pPr>
        <w:pStyle w:val="16"/>
        <w:snapToGrid w:val="0"/>
        <w:spacing w:beforeLines="0" w:afterLines="0" w:line="440" w:lineRule="exact"/>
        <w:ind w:firstLine="433" w:firstLineChars="196"/>
        <w:jc w:val="left"/>
        <w:rPr>
          <w:rFonts w:hAnsi="宋体" w:cs="宋体"/>
          <w:b/>
          <w:bCs/>
          <w:color w:val="auto"/>
          <w:sz w:val="22"/>
          <w:szCs w:val="22"/>
          <w:highlight w:val="none"/>
        </w:rPr>
      </w:pPr>
      <w:bookmarkStart w:id="29" w:name="_Toc50128386"/>
      <w:r>
        <w:rPr>
          <w:rFonts w:hint="eastAsia" w:hAnsi="宋体" w:cs="宋体"/>
          <w:b/>
          <w:bCs/>
          <w:color w:val="auto"/>
          <w:sz w:val="22"/>
          <w:szCs w:val="22"/>
          <w:highlight w:val="none"/>
        </w:rPr>
        <w:t>2.投标人应仔细阅读招标文件的所有内容，按照招标文件的要求提交投标文件，并对所提供的全部资料的真实性承担法律责任。</w:t>
      </w:r>
      <w:bookmarkEnd w:id="29"/>
    </w:p>
    <w:p w14:paraId="2C71A287">
      <w:pPr>
        <w:pStyle w:val="16"/>
        <w:snapToGrid w:val="0"/>
        <w:spacing w:beforeLines="0" w:afterLines="0" w:line="440" w:lineRule="exact"/>
        <w:ind w:firstLine="433" w:firstLineChars="196"/>
        <w:jc w:val="left"/>
        <w:rPr>
          <w:rFonts w:hAnsi="宋体" w:cs="宋体"/>
          <w:b/>
          <w:bCs/>
          <w:color w:val="auto"/>
          <w:sz w:val="22"/>
          <w:szCs w:val="22"/>
          <w:highlight w:val="none"/>
        </w:rPr>
      </w:pPr>
      <w:bookmarkStart w:id="30" w:name="_Toc50128387"/>
      <w:r>
        <w:rPr>
          <w:rFonts w:hint="eastAsia" w:hAnsi="宋体" w:cs="宋体"/>
          <w:b/>
          <w:bCs/>
          <w:color w:val="auto"/>
          <w:sz w:val="22"/>
          <w:szCs w:val="22"/>
          <w:highlight w:val="none"/>
        </w:rPr>
        <w:t>3.投标人在投标活动中提供任何虚假材料，其投标无效，投标保证金不予退还；合同签订后发现的，中标人须按照履约保证金金额的双倍赔偿招标人，如无法补偿招标人损失的，中标人需另行补偿，且民事赔偿并不免除违法投标人的行政与刑事责任。</w:t>
      </w:r>
      <w:bookmarkEnd w:id="30"/>
    </w:p>
    <w:p w14:paraId="3D3A9C78">
      <w:pPr>
        <w:pStyle w:val="16"/>
        <w:snapToGrid w:val="0"/>
        <w:spacing w:beforeLines="0" w:afterLines="0" w:line="440" w:lineRule="exact"/>
        <w:ind w:firstLine="433" w:firstLineChars="196"/>
        <w:jc w:val="left"/>
        <w:outlineLvl w:val="3"/>
        <w:rPr>
          <w:rFonts w:hAnsi="宋体" w:cs="宋体"/>
          <w:b/>
          <w:bCs/>
          <w:color w:val="auto"/>
          <w:sz w:val="22"/>
          <w:szCs w:val="22"/>
          <w:highlight w:val="none"/>
        </w:rPr>
      </w:pPr>
      <w:r>
        <w:rPr>
          <w:rFonts w:hint="eastAsia" w:hAnsi="宋体" w:cs="宋体"/>
          <w:b/>
          <w:bCs/>
          <w:color w:val="auto"/>
          <w:sz w:val="22"/>
          <w:szCs w:val="22"/>
          <w:highlight w:val="none"/>
        </w:rPr>
        <w:t>（九）质疑和投诉</w:t>
      </w:r>
      <w:bookmarkEnd w:id="28"/>
    </w:p>
    <w:p w14:paraId="5272BDB4">
      <w:pPr>
        <w:pStyle w:val="16"/>
        <w:snapToGrid w:val="0"/>
        <w:spacing w:beforeLines="0" w:afterLines="0" w:line="440" w:lineRule="exact"/>
        <w:ind w:firstLine="440" w:firstLineChars="200"/>
        <w:jc w:val="left"/>
        <w:rPr>
          <w:rFonts w:hAnsi="宋体" w:cs="宋体"/>
          <w:color w:val="auto"/>
          <w:sz w:val="22"/>
          <w:szCs w:val="22"/>
          <w:highlight w:val="none"/>
        </w:rPr>
      </w:pPr>
      <w:r>
        <w:rPr>
          <w:rFonts w:hint="eastAsia" w:hAnsi="宋体" w:cs="宋体"/>
          <w:bCs/>
          <w:color w:val="auto"/>
          <w:sz w:val="22"/>
          <w:szCs w:val="22"/>
          <w:highlight w:val="none"/>
        </w:rPr>
        <w:t>1.投标人认为招标文件、招标过程或中标结果使自己的合法权益受到损害的，应当在知道或者应知其权益受到损害之日起七个工作日内，以书面形式向招标人提出质疑。</w:t>
      </w:r>
    </w:p>
    <w:p w14:paraId="16402C96">
      <w:pPr>
        <w:pStyle w:val="16"/>
        <w:snapToGrid w:val="0"/>
        <w:spacing w:beforeLines="0" w:afterLines="0" w:line="440" w:lineRule="exact"/>
        <w:ind w:firstLine="440" w:firstLineChars="200"/>
        <w:jc w:val="left"/>
        <w:rPr>
          <w:rFonts w:hAnsi="宋体"/>
          <w:bCs/>
          <w:color w:val="auto"/>
          <w:sz w:val="21"/>
          <w:szCs w:val="21"/>
          <w:highlight w:val="none"/>
        </w:rPr>
      </w:pPr>
      <w:r>
        <w:rPr>
          <w:rFonts w:hint="eastAsia" w:hAnsi="宋体" w:cs="宋体"/>
          <w:bCs/>
          <w:color w:val="auto"/>
          <w:sz w:val="22"/>
          <w:szCs w:val="22"/>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2BE7AFAB">
      <w:pPr>
        <w:pStyle w:val="22"/>
        <w:outlineLvl w:val="2"/>
        <w:rPr>
          <w:color w:val="auto"/>
          <w:sz w:val="28"/>
          <w:highlight w:val="none"/>
        </w:rPr>
      </w:pPr>
      <w:bookmarkStart w:id="31" w:name="_Toc18631"/>
      <w:bookmarkStart w:id="32" w:name="_Toc50128389"/>
      <w:bookmarkStart w:id="33" w:name="_Toc430"/>
      <w:bookmarkStart w:id="34" w:name="_Toc527495450"/>
      <w:r>
        <w:rPr>
          <w:color w:val="auto"/>
          <w:sz w:val="28"/>
          <w:highlight w:val="none"/>
        </w:rPr>
        <w:t>二   招标文件</w:t>
      </w:r>
      <w:bookmarkEnd w:id="31"/>
      <w:bookmarkEnd w:id="32"/>
      <w:bookmarkEnd w:id="33"/>
      <w:bookmarkEnd w:id="34"/>
    </w:p>
    <w:p w14:paraId="0643F085">
      <w:pPr>
        <w:snapToGrid w:val="0"/>
        <w:spacing w:line="440" w:lineRule="exact"/>
        <w:ind w:firstLine="442" w:firstLineChars="200"/>
        <w:jc w:val="left"/>
        <w:rPr>
          <w:rFonts w:ascii="宋体" w:hAnsi="宋体" w:cs="宋体"/>
          <w:b/>
          <w:color w:val="auto"/>
          <w:sz w:val="22"/>
          <w:szCs w:val="22"/>
          <w:highlight w:val="none"/>
        </w:rPr>
      </w:pPr>
      <w:r>
        <w:rPr>
          <w:rFonts w:hint="eastAsia" w:ascii="宋体" w:hAnsi="宋体" w:cs="宋体"/>
          <w:b/>
          <w:color w:val="auto"/>
          <w:sz w:val="22"/>
          <w:szCs w:val="22"/>
          <w:highlight w:val="none"/>
        </w:rPr>
        <w:t>（一）招标文件的构成。本招标文件由以下部分组成：</w:t>
      </w:r>
    </w:p>
    <w:p w14:paraId="4381BBF9">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1.招标公告</w:t>
      </w:r>
    </w:p>
    <w:p w14:paraId="2BE4F568">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2.招标需求</w:t>
      </w:r>
    </w:p>
    <w:p w14:paraId="52746A0A">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3.投标人须知前附表</w:t>
      </w:r>
    </w:p>
    <w:p w14:paraId="2A44C0E2">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4.评标办法及评分标准</w:t>
      </w:r>
    </w:p>
    <w:p w14:paraId="1A3DA8AC">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5.合同主要条款</w:t>
      </w:r>
    </w:p>
    <w:p w14:paraId="61DD4C3E">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6.投标文件格式</w:t>
      </w:r>
    </w:p>
    <w:p w14:paraId="42CC6372">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7.本项目招标文件的澄清、答复、修改、补充的内容</w:t>
      </w:r>
    </w:p>
    <w:p w14:paraId="7E025E1D">
      <w:pPr>
        <w:snapToGrid w:val="0"/>
        <w:spacing w:line="440" w:lineRule="exact"/>
        <w:ind w:firstLine="442" w:firstLineChars="200"/>
        <w:jc w:val="left"/>
        <w:rPr>
          <w:rFonts w:ascii="宋体" w:hAnsi="宋体" w:cs="宋体"/>
          <w:b/>
          <w:color w:val="auto"/>
          <w:sz w:val="22"/>
          <w:szCs w:val="22"/>
          <w:highlight w:val="none"/>
        </w:rPr>
      </w:pPr>
      <w:r>
        <w:rPr>
          <w:rFonts w:hint="eastAsia" w:ascii="宋体" w:hAnsi="宋体" w:cs="宋体"/>
          <w:b/>
          <w:color w:val="auto"/>
          <w:sz w:val="22"/>
          <w:szCs w:val="22"/>
          <w:highlight w:val="none"/>
        </w:rPr>
        <w:t>（二）投标人的风险</w:t>
      </w:r>
    </w:p>
    <w:p w14:paraId="08CD2E5A">
      <w:pPr>
        <w:pStyle w:val="25"/>
        <w:spacing w:after="0" w:line="440" w:lineRule="exact"/>
        <w:ind w:left="0" w:leftChars="0"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投标人没有按照招标文件要求提供全部资料，或者投标人没有对招标文件在各方面作出实质性响应是投标人的风险，并可能导致其投标被拒绝。</w:t>
      </w:r>
    </w:p>
    <w:p w14:paraId="70A09817">
      <w:pPr>
        <w:pStyle w:val="8"/>
        <w:numPr>
          <w:ilvl w:val="0"/>
          <w:numId w:val="0"/>
        </w:numPr>
        <w:snapToGrid w:val="0"/>
        <w:spacing w:line="440" w:lineRule="exact"/>
        <w:ind w:firstLine="442" w:firstLineChars="200"/>
        <w:jc w:val="left"/>
        <w:rPr>
          <w:rFonts w:ascii="宋体" w:hAnsi="宋体" w:cs="宋体"/>
          <w:b/>
          <w:color w:val="auto"/>
          <w:sz w:val="22"/>
          <w:szCs w:val="22"/>
          <w:highlight w:val="none"/>
        </w:rPr>
      </w:pPr>
      <w:r>
        <w:rPr>
          <w:rFonts w:hint="eastAsia" w:ascii="宋体" w:hAnsi="宋体" w:cs="宋体"/>
          <w:b/>
          <w:color w:val="auto"/>
          <w:sz w:val="22"/>
          <w:szCs w:val="22"/>
          <w:highlight w:val="none"/>
        </w:rPr>
        <w:t>（三）招标文件的澄清与修改</w:t>
      </w:r>
    </w:p>
    <w:p w14:paraId="27442CBE">
      <w:pPr>
        <w:pStyle w:val="16"/>
        <w:snapToGrid w:val="0"/>
        <w:spacing w:beforeLines="0" w:afterLines="0" w:line="440" w:lineRule="exact"/>
        <w:ind w:firstLine="440" w:firstLineChars="200"/>
        <w:jc w:val="left"/>
        <w:rPr>
          <w:rFonts w:hAnsi="宋体" w:cs="宋体"/>
          <w:color w:val="auto"/>
          <w:sz w:val="22"/>
          <w:szCs w:val="22"/>
          <w:highlight w:val="none"/>
        </w:rPr>
      </w:pPr>
      <w:r>
        <w:rPr>
          <w:rFonts w:hint="eastAsia" w:hAnsi="宋体" w:cs="宋体"/>
          <w:color w:val="auto"/>
          <w:sz w:val="22"/>
          <w:szCs w:val="22"/>
          <w:highlight w:val="none"/>
        </w:rPr>
        <w:t>1.招标人对已发出的招标文件进行必要的澄清和修改时，将在招标公告规定的投标截止时间10日前，以书面形式或在规定信息发布网站上通知所有招标文件受收人，</w:t>
      </w:r>
      <w:r>
        <w:rPr>
          <w:rFonts w:hint="eastAsia" w:hAnsi="宋体" w:cs="宋体"/>
          <w:bCs/>
          <w:color w:val="auto"/>
          <w:sz w:val="22"/>
          <w:szCs w:val="22"/>
          <w:highlight w:val="none"/>
        </w:rPr>
        <w:t>投标人须自行查看是否有澄清和修改文件，并按澄清和修改文件要求投标，否则责任自负，</w:t>
      </w:r>
      <w:r>
        <w:rPr>
          <w:rFonts w:hint="eastAsia" w:hAnsi="宋体" w:cs="宋体"/>
          <w:color w:val="auto"/>
          <w:sz w:val="22"/>
          <w:szCs w:val="22"/>
          <w:highlight w:val="none"/>
        </w:rPr>
        <w:t>澄清和修改的内容作为招标文件的组成部分。招标人根据实际情况，作出延长投标截止时间和开标时间的决定，并发布变更公告。</w:t>
      </w:r>
    </w:p>
    <w:p w14:paraId="6CF8D4A0">
      <w:pPr>
        <w:pStyle w:val="16"/>
        <w:snapToGrid w:val="0"/>
        <w:spacing w:beforeLines="0" w:afterLines="0" w:line="440" w:lineRule="exact"/>
        <w:ind w:firstLine="440" w:firstLineChars="200"/>
        <w:jc w:val="left"/>
        <w:rPr>
          <w:rFonts w:hAnsi="宋体" w:cs="宋体"/>
          <w:color w:val="auto"/>
          <w:sz w:val="22"/>
          <w:szCs w:val="22"/>
          <w:highlight w:val="none"/>
        </w:rPr>
      </w:pPr>
      <w:r>
        <w:rPr>
          <w:rFonts w:hint="eastAsia" w:hAnsi="宋体" w:cs="宋体"/>
          <w:color w:val="auto"/>
          <w:sz w:val="22"/>
          <w:szCs w:val="22"/>
          <w:highlight w:val="none"/>
        </w:rPr>
        <w:t>2.购买招标文件的潜在投标人对招标文件有异议，应在投标截止时间10日前书面提出。逾期提出的将不予受理。对招标文件的异议应有法定代表人或授权代表签字，并盖投标人公章和注明日期。</w:t>
      </w:r>
    </w:p>
    <w:p w14:paraId="3F398F9F">
      <w:pPr>
        <w:pStyle w:val="16"/>
        <w:snapToGrid w:val="0"/>
        <w:spacing w:beforeLines="0" w:afterLines="0" w:line="440" w:lineRule="exact"/>
        <w:ind w:firstLine="440" w:firstLineChars="200"/>
        <w:jc w:val="left"/>
        <w:rPr>
          <w:rFonts w:hAnsi="宋体" w:cs="宋体"/>
          <w:color w:val="auto"/>
          <w:sz w:val="22"/>
          <w:szCs w:val="22"/>
          <w:highlight w:val="none"/>
        </w:rPr>
      </w:pPr>
      <w:r>
        <w:rPr>
          <w:rFonts w:hint="eastAsia" w:hAnsi="宋体" w:cs="宋体"/>
          <w:color w:val="auto"/>
          <w:sz w:val="22"/>
          <w:szCs w:val="22"/>
          <w:highlight w:val="none"/>
        </w:rPr>
        <w:t>3.没有提出异议且又参与了该项目投标的投标人将被视为完全认同招标文件。</w:t>
      </w:r>
    </w:p>
    <w:p w14:paraId="43B9C6C4">
      <w:pPr>
        <w:pStyle w:val="22"/>
        <w:outlineLvl w:val="2"/>
        <w:rPr>
          <w:color w:val="auto"/>
          <w:sz w:val="28"/>
          <w:highlight w:val="none"/>
        </w:rPr>
      </w:pPr>
      <w:bookmarkStart w:id="35" w:name="_Toc21548"/>
      <w:bookmarkStart w:id="36" w:name="_Toc50128390"/>
      <w:r>
        <w:rPr>
          <w:color w:val="auto"/>
          <w:sz w:val="28"/>
          <w:highlight w:val="none"/>
        </w:rPr>
        <w:t>三</w:t>
      </w:r>
      <w:r>
        <w:rPr>
          <w:rFonts w:hint="eastAsia"/>
          <w:color w:val="auto"/>
          <w:sz w:val="28"/>
          <w:highlight w:val="none"/>
        </w:rPr>
        <w:t xml:space="preserve"> </w:t>
      </w:r>
      <w:r>
        <w:rPr>
          <w:color w:val="auto"/>
          <w:sz w:val="28"/>
          <w:highlight w:val="none"/>
        </w:rPr>
        <w:t xml:space="preserve"> </w:t>
      </w:r>
      <w:r>
        <w:rPr>
          <w:rFonts w:hint="eastAsia"/>
          <w:color w:val="auto"/>
          <w:sz w:val="28"/>
          <w:highlight w:val="none"/>
        </w:rPr>
        <w:t xml:space="preserve"> </w:t>
      </w:r>
      <w:r>
        <w:rPr>
          <w:color w:val="auto"/>
          <w:sz w:val="28"/>
          <w:highlight w:val="none"/>
        </w:rPr>
        <w:t>投标文件的编制</w:t>
      </w:r>
      <w:bookmarkEnd w:id="35"/>
      <w:bookmarkEnd w:id="36"/>
    </w:p>
    <w:p w14:paraId="2AFB8637">
      <w:pPr>
        <w:tabs>
          <w:tab w:val="left" w:pos="540"/>
        </w:tabs>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投标人应认真阅读招标文件中所有事项格式、条款和技术规范等。投标人没有按照招标文件要求提交全部资料，或者没有对招标文件各个方面做出实质性响应，导致投标被拒绝的风险由投标人自行承担。</w:t>
      </w:r>
    </w:p>
    <w:p w14:paraId="3535C77B">
      <w:pPr>
        <w:pStyle w:val="70"/>
        <w:snapToGrid w:val="0"/>
        <w:spacing w:line="440" w:lineRule="exact"/>
        <w:ind w:firstLine="440"/>
        <w:jc w:val="left"/>
        <w:outlineLvl w:val="3"/>
        <w:rPr>
          <w:rFonts w:ascii="宋体" w:hAnsi="宋体" w:cs="宋体"/>
          <w:color w:val="auto"/>
          <w:kern w:val="0"/>
          <w:sz w:val="22"/>
          <w:szCs w:val="22"/>
          <w:highlight w:val="none"/>
        </w:rPr>
      </w:pPr>
      <w:r>
        <w:rPr>
          <w:rFonts w:hint="eastAsia" w:ascii="宋体" w:hAnsi="宋体" w:cs="宋体"/>
          <w:color w:val="auto"/>
          <w:kern w:val="0"/>
          <w:sz w:val="22"/>
          <w:szCs w:val="22"/>
          <w:highlight w:val="none"/>
        </w:rPr>
        <w:t>（一）投标文件的组成</w:t>
      </w:r>
    </w:p>
    <w:p w14:paraId="36F2EA56">
      <w:pPr>
        <w:tabs>
          <w:tab w:val="left" w:pos="360"/>
        </w:tabs>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投标文件由资格审查文件、商务技术标、价格标三部分构成：</w:t>
      </w:r>
    </w:p>
    <w:p w14:paraId="7E273959">
      <w:pPr>
        <w:numPr>
          <w:ilvl w:val="255"/>
          <w:numId w:val="0"/>
        </w:numPr>
        <w:spacing w:line="440" w:lineRule="exact"/>
        <w:ind w:left="178"/>
        <w:rPr>
          <w:rFonts w:ascii="宋体" w:hAnsi="宋体" w:cs="宋体"/>
          <w:b/>
          <w:color w:val="auto"/>
          <w:sz w:val="22"/>
          <w:szCs w:val="22"/>
          <w:highlight w:val="none"/>
        </w:rPr>
      </w:pPr>
      <w:r>
        <w:rPr>
          <w:rFonts w:hint="eastAsia" w:ascii="宋体" w:hAnsi="宋体" w:cs="宋体"/>
          <w:b/>
          <w:color w:val="auto"/>
          <w:sz w:val="22"/>
          <w:szCs w:val="22"/>
          <w:highlight w:val="none"/>
        </w:rPr>
        <w:t>（1）资格审查文件</w:t>
      </w:r>
    </w:p>
    <w:tbl>
      <w:tblPr>
        <w:tblStyle w:val="3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004"/>
        <w:gridCol w:w="1414"/>
      </w:tblGrid>
      <w:tr w14:paraId="6137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53336CB7">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7004" w:type="dxa"/>
            <w:vAlign w:val="center"/>
          </w:tcPr>
          <w:p w14:paraId="0E80F4C1">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内容</w:t>
            </w:r>
          </w:p>
        </w:tc>
        <w:tc>
          <w:tcPr>
            <w:tcW w:w="1414" w:type="dxa"/>
            <w:vAlign w:val="center"/>
          </w:tcPr>
          <w:p w14:paraId="5826858F">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备注</w:t>
            </w:r>
          </w:p>
        </w:tc>
      </w:tr>
      <w:tr w14:paraId="2681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78B57053">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1.1</w:t>
            </w:r>
          </w:p>
        </w:tc>
        <w:tc>
          <w:tcPr>
            <w:tcW w:w="7004" w:type="dxa"/>
            <w:vAlign w:val="center"/>
          </w:tcPr>
          <w:p w14:paraId="4443BD9F">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法定代表人授权委托书</w:t>
            </w:r>
          </w:p>
        </w:tc>
        <w:tc>
          <w:tcPr>
            <w:tcW w:w="1414" w:type="dxa"/>
            <w:vAlign w:val="center"/>
          </w:tcPr>
          <w:p w14:paraId="2FED5370">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附件一-1</w:t>
            </w:r>
          </w:p>
        </w:tc>
      </w:tr>
      <w:tr w14:paraId="12F8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588398DF">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1.2</w:t>
            </w:r>
          </w:p>
        </w:tc>
        <w:tc>
          <w:tcPr>
            <w:tcW w:w="7004" w:type="dxa"/>
            <w:vAlign w:val="center"/>
          </w:tcPr>
          <w:p w14:paraId="0C3071F3">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法定代表人资格证明书</w:t>
            </w:r>
          </w:p>
        </w:tc>
        <w:tc>
          <w:tcPr>
            <w:tcW w:w="1414" w:type="dxa"/>
            <w:vAlign w:val="center"/>
          </w:tcPr>
          <w:p w14:paraId="55ECD20A">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附件一-2</w:t>
            </w:r>
          </w:p>
        </w:tc>
      </w:tr>
      <w:tr w14:paraId="10A1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3D3D19E4">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2</w:t>
            </w:r>
          </w:p>
        </w:tc>
        <w:tc>
          <w:tcPr>
            <w:tcW w:w="7004" w:type="dxa"/>
            <w:vAlign w:val="center"/>
          </w:tcPr>
          <w:p w14:paraId="7720A9A6">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投标声明书</w:t>
            </w:r>
          </w:p>
        </w:tc>
        <w:tc>
          <w:tcPr>
            <w:tcW w:w="1414" w:type="dxa"/>
            <w:vAlign w:val="center"/>
          </w:tcPr>
          <w:p w14:paraId="009D8FFE">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附件二</w:t>
            </w:r>
          </w:p>
        </w:tc>
      </w:tr>
      <w:tr w14:paraId="44F6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7BBBE59D">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3</w:t>
            </w:r>
          </w:p>
        </w:tc>
        <w:tc>
          <w:tcPr>
            <w:tcW w:w="7004" w:type="dxa"/>
            <w:vAlign w:val="center"/>
          </w:tcPr>
          <w:p w14:paraId="10E737A0">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投标人营业执照(或事业法人登记证书或其它工商等登记证明材料</w:t>
            </w:r>
            <w:r>
              <w:rPr>
                <w:rFonts w:hint="eastAsia" w:ascii="宋体" w:hAnsi="宋体" w:cs="宋体"/>
                <w:color w:val="auto"/>
                <w:sz w:val="22"/>
                <w:szCs w:val="22"/>
                <w:highlight w:val="none"/>
              </w:rPr>
              <w:t>复印件加盖公章)</w:t>
            </w:r>
          </w:p>
        </w:tc>
        <w:tc>
          <w:tcPr>
            <w:tcW w:w="1414" w:type="dxa"/>
            <w:vAlign w:val="center"/>
          </w:tcPr>
          <w:p w14:paraId="11210F10">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附件三</w:t>
            </w:r>
          </w:p>
        </w:tc>
      </w:tr>
      <w:tr w14:paraId="2A43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1D61523A">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4</w:t>
            </w:r>
          </w:p>
        </w:tc>
        <w:tc>
          <w:tcPr>
            <w:tcW w:w="7004" w:type="dxa"/>
            <w:vAlign w:val="center"/>
          </w:tcPr>
          <w:p w14:paraId="25F0E749">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具有履行合同所必需的设备和专业技术能力的承诺函</w:t>
            </w:r>
          </w:p>
        </w:tc>
        <w:tc>
          <w:tcPr>
            <w:tcW w:w="1414" w:type="dxa"/>
            <w:vAlign w:val="center"/>
          </w:tcPr>
          <w:p w14:paraId="02C300E3">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附件四</w:t>
            </w:r>
          </w:p>
        </w:tc>
      </w:tr>
      <w:tr w14:paraId="44E0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5CA82516">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5</w:t>
            </w:r>
          </w:p>
        </w:tc>
        <w:tc>
          <w:tcPr>
            <w:tcW w:w="7004" w:type="dxa"/>
            <w:vAlign w:val="center"/>
          </w:tcPr>
          <w:p w14:paraId="0518ED94">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具有良好的信誉和健全的财务会计制度的承诺函</w:t>
            </w:r>
          </w:p>
        </w:tc>
        <w:tc>
          <w:tcPr>
            <w:tcW w:w="1414" w:type="dxa"/>
            <w:vAlign w:val="center"/>
          </w:tcPr>
          <w:p w14:paraId="1C9A2A96">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附件五</w:t>
            </w:r>
          </w:p>
        </w:tc>
      </w:tr>
      <w:tr w14:paraId="23B7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5C8F3249">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6</w:t>
            </w:r>
          </w:p>
        </w:tc>
        <w:tc>
          <w:tcPr>
            <w:tcW w:w="7004" w:type="dxa"/>
            <w:vAlign w:val="center"/>
          </w:tcPr>
          <w:p w14:paraId="13DF03CC">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未被列入失信被执行人名单、重大税收违法案件当事人名单、未被列入安全生产严重失信主体名单的承诺函</w:t>
            </w:r>
          </w:p>
        </w:tc>
        <w:tc>
          <w:tcPr>
            <w:tcW w:w="1414" w:type="dxa"/>
            <w:vAlign w:val="center"/>
          </w:tcPr>
          <w:p w14:paraId="3A1431FA">
            <w:pPr>
              <w:jc w:val="center"/>
              <w:rPr>
                <w:rFonts w:ascii="宋体" w:hAnsi="宋体" w:cs="宋体"/>
                <w:color w:val="auto"/>
                <w:sz w:val="22"/>
                <w:szCs w:val="22"/>
                <w:highlight w:val="none"/>
              </w:rPr>
            </w:pPr>
            <w:r>
              <w:rPr>
                <w:rFonts w:hint="eastAsia" w:ascii="宋体" w:hAnsi="宋体" w:cs="宋体"/>
                <w:bCs/>
                <w:color w:val="auto"/>
                <w:sz w:val="22"/>
                <w:szCs w:val="22"/>
                <w:highlight w:val="none"/>
              </w:rPr>
              <w:t>附件六</w:t>
            </w:r>
          </w:p>
        </w:tc>
      </w:tr>
      <w:tr w14:paraId="0894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14:paraId="6BA331A8">
            <w:pPr>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7</w:t>
            </w:r>
          </w:p>
        </w:tc>
        <w:tc>
          <w:tcPr>
            <w:tcW w:w="7004" w:type="dxa"/>
            <w:vAlign w:val="center"/>
          </w:tcPr>
          <w:p w14:paraId="02BFAB3B">
            <w:pPr>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投标人须在中华人民共和国生态环境部“环境影响评价信用平台”登记，且投标截止日前，在平台中未被列为“限期整改名单”或“黑名单”。（须提供平台查询截图并加盖公章）</w:t>
            </w:r>
          </w:p>
        </w:tc>
        <w:tc>
          <w:tcPr>
            <w:tcW w:w="1414" w:type="dxa"/>
            <w:vAlign w:val="center"/>
          </w:tcPr>
          <w:p w14:paraId="61666B04">
            <w:pPr>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rPr>
              <w:t>附件七</w:t>
            </w:r>
          </w:p>
        </w:tc>
      </w:tr>
    </w:tbl>
    <w:p w14:paraId="03059E28">
      <w:pPr>
        <w:numPr>
          <w:ilvl w:val="255"/>
          <w:numId w:val="0"/>
        </w:numPr>
        <w:spacing w:line="440" w:lineRule="exact"/>
        <w:ind w:left="178"/>
        <w:rPr>
          <w:rFonts w:ascii="宋体" w:hAnsi="宋体" w:cs="宋体"/>
          <w:b/>
          <w:color w:val="auto"/>
          <w:sz w:val="22"/>
          <w:szCs w:val="22"/>
          <w:highlight w:val="none"/>
        </w:rPr>
      </w:pPr>
      <w:r>
        <w:rPr>
          <w:rFonts w:hint="eastAsia" w:ascii="宋体" w:hAnsi="宋体" w:cs="宋体"/>
          <w:b/>
          <w:color w:val="auto"/>
          <w:sz w:val="22"/>
          <w:szCs w:val="22"/>
          <w:highlight w:val="none"/>
        </w:rPr>
        <w:t>（2）商务技术标</w:t>
      </w:r>
    </w:p>
    <w:tbl>
      <w:tblPr>
        <w:tblStyle w:val="30"/>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974"/>
        <w:gridCol w:w="1388"/>
      </w:tblGrid>
      <w:tr w14:paraId="7279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7E3D37A0">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6974" w:type="dxa"/>
            <w:vAlign w:val="center"/>
          </w:tcPr>
          <w:p w14:paraId="6DFC0598">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内容</w:t>
            </w:r>
          </w:p>
        </w:tc>
        <w:tc>
          <w:tcPr>
            <w:tcW w:w="1388" w:type="dxa"/>
            <w:vAlign w:val="center"/>
          </w:tcPr>
          <w:p w14:paraId="1F8D6402">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备注</w:t>
            </w:r>
          </w:p>
        </w:tc>
      </w:tr>
      <w:tr w14:paraId="3918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4031C476">
            <w:pPr>
              <w:jc w:val="center"/>
              <w:rPr>
                <w:rFonts w:ascii="宋体" w:hAnsi="宋体" w:cs="宋体"/>
                <w:bCs/>
                <w:color w:val="auto"/>
                <w:sz w:val="22"/>
                <w:szCs w:val="22"/>
                <w:highlight w:val="none"/>
              </w:rPr>
            </w:pPr>
            <w:r>
              <w:rPr>
                <w:rFonts w:hint="eastAsia" w:ascii="宋体" w:hAnsi="宋体" w:cs="宋体"/>
                <w:color w:val="auto"/>
                <w:sz w:val="22"/>
                <w:szCs w:val="22"/>
                <w:highlight w:val="none"/>
              </w:rPr>
              <w:t>1</w:t>
            </w:r>
          </w:p>
        </w:tc>
        <w:tc>
          <w:tcPr>
            <w:tcW w:w="6974" w:type="dxa"/>
            <w:vAlign w:val="center"/>
          </w:tcPr>
          <w:p w14:paraId="58AE42DE">
            <w:pPr>
              <w:rPr>
                <w:rFonts w:ascii="宋体" w:hAnsi="宋体" w:cs="宋体"/>
                <w:color w:val="auto"/>
                <w:sz w:val="22"/>
                <w:szCs w:val="22"/>
                <w:highlight w:val="none"/>
              </w:rPr>
            </w:pPr>
            <w:r>
              <w:rPr>
                <w:rFonts w:hint="eastAsia" w:ascii="宋体" w:hAnsi="宋体" w:cs="宋体"/>
                <w:color w:val="auto"/>
                <w:sz w:val="22"/>
                <w:szCs w:val="22"/>
                <w:highlight w:val="none"/>
              </w:rPr>
              <w:t>投标函</w:t>
            </w:r>
          </w:p>
        </w:tc>
        <w:tc>
          <w:tcPr>
            <w:tcW w:w="1388" w:type="dxa"/>
            <w:vAlign w:val="center"/>
          </w:tcPr>
          <w:p w14:paraId="79C73B37">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附件八</w:t>
            </w:r>
          </w:p>
        </w:tc>
      </w:tr>
      <w:tr w14:paraId="0DF2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40932919">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2</w:t>
            </w:r>
          </w:p>
        </w:tc>
        <w:tc>
          <w:tcPr>
            <w:tcW w:w="6974" w:type="dxa"/>
            <w:vAlign w:val="center"/>
          </w:tcPr>
          <w:p w14:paraId="2BDDA07B">
            <w:pPr>
              <w:rPr>
                <w:rFonts w:ascii="宋体" w:hAnsi="宋体" w:cs="宋体"/>
                <w:color w:val="auto"/>
                <w:sz w:val="22"/>
                <w:szCs w:val="22"/>
                <w:highlight w:val="none"/>
              </w:rPr>
            </w:pPr>
            <w:r>
              <w:rPr>
                <w:rFonts w:hint="eastAsia" w:ascii="宋体" w:hAnsi="宋体" w:cs="宋体"/>
                <w:bCs/>
                <w:color w:val="auto"/>
                <w:sz w:val="22"/>
                <w:szCs w:val="22"/>
                <w:highlight w:val="none"/>
              </w:rPr>
              <w:t>技术规格、商务条款偏离表</w:t>
            </w:r>
          </w:p>
        </w:tc>
        <w:tc>
          <w:tcPr>
            <w:tcW w:w="1388" w:type="dxa"/>
            <w:vAlign w:val="center"/>
          </w:tcPr>
          <w:p w14:paraId="67B8D107">
            <w:pPr>
              <w:jc w:val="center"/>
              <w:rPr>
                <w:rFonts w:ascii="宋体" w:hAnsi="宋体" w:cs="宋体"/>
                <w:color w:val="auto"/>
                <w:sz w:val="22"/>
                <w:szCs w:val="22"/>
                <w:highlight w:val="none"/>
              </w:rPr>
            </w:pPr>
            <w:r>
              <w:rPr>
                <w:rFonts w:hint="eastAsia" w:ascii="宋体" w:hAnsi="宋体" w:cs="宋体"/>
                <w:bCs/>
                <w:color w:val="auto"/>
                <w:sz w:val="22"/>
                <w:szCs w:val="22"/>
                <w:highlight w:val="none"/>
              </w:rPr>
              <w:t>附件九</w:t>
            </w:r>
          </w:p>
        </w:tc>
      </w:tr>
      <w:tr w14:paraId="3F61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2D1600A9">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3</w:t>
            </w:r>
          </w:p>
        </w:tc>
        <w:tc>
          <w:tcPr>
            <w:tcW w:w="6974" w:type="dxa"/>
            <w:vAlign w:val="center"/>
          </w:tcPr>
          <w:p w14:paraId="76990B2D">
            <w:pPr>
              <w:rPr>
                <w:rFonts w:ascii="宋体" w:hAnsi="宋体" w:cs="宋体"/>
                <w:color w:val="auto"/>
                <w:sz w:val="22"/>
                <w:szCs w:val="22"/>
                <w:highlight w:val="none"/>
              </w:rPr>
            </w:pPr>
            <w:r>
              <w:rPr>
                <w:rFonts w:hint="eastAsia" w:ascii="宋体" w:hAnsi="宋体" w:cs="宋体"/>
                <w:color w:val="auto"/>
                <w:sz w:val="22"/>
                <w:szCs w:val="22"/>
                <w:highlight w:val="none"/>
              </w:rPr>
              <w:t>投标人的基本情况表</w:t>
            </w:r>
          </w:p>
        </w:tc>
        <w:tc>
          <w:tcPr>
            <w:tcW w:w="1388" w:type="dxa"/>
            <w:vAlign w:val="center"/>
          </w:tcPr>
          <w:p w14:paraId="67D51D55">
            <w:pPr>
              <w:jc w:val="center"/>
              <w:rPr>
                <w:rFonts w:ascii="宋体" w:hAnsi="宋体" w:cs="宋体"/>
                <w:color w:val="auto"/>
                <w:sz w:val="22"/>
                <w:szCs w:val="22"/>
                <w:highlight w:val="none"/>
              </w:rPr>
            </w:pPr>
            <w:r>
              <w:rPr>
                <w:rFonts w:hint="eastAsia" w:ascii="宋体" w:hAnsi="宋体" w:cs="宋体"/>
                <w:color w:val="auto"/>
                <w:sz w:val="22"/>
                <w:szCs w:val="22"/>
                <w:highlight w:val="none"/>
              </w:rPr>
              <w:t>附件十</w:t>
            </w:r>
          </w:p>
        </w:tc>
      </w:tr>
      <w:tr w14:paraId="6603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6DB427E2">
            <w:pPr>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6974" w:type="dxa"/>
            <w:vAlign w:val="center"/>
          </w:tcPr>
          <w:p w14:paraId="40BDBE57">
            <w:pP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企业业绩一览表</w:t>
            </w:r>
          </w:p>
        </w:tc>
        <w:tc>
          <w:tcPr>
            <w:tcW w:w="1388" w:type="dxa"/>
            <w:vAlign w:val="center"/>
          </w:tcPr>
          <w:p w14:paraId="5FA950E5">
            <w:pPr>
              <w:jc w:val="center"/>
              <w:rPr>
                <w:rFonts w:ascii="宋体" w:hAnsi="宋体" w:cs="宋体"/>
                <w:color w:val="auto"/>
                <w:sz w:val="22"/>
                <w:szCs w:val="22"/>
                <w:highlight w:val="none"/>
              </w:rPr>
            </w:pPr>
            <w:r>
              <w:rPr>
                <w:rFonts w:hint="eastAsia" w:ascii="宋体" w:hAnsi="宋体" w:cs="宋体"/>
                <w:color w:val="auto"/>
                <w:sz w:val="22"/>
                <w:szCs w:val="22"/>
                <w:highlight w:val="none"/>
              </w:rPr>
              <w:t>附件十一</w:t>
            </w:r>
          </w:p>
        </w:tc>
      </w:tr>
      <w:tr w14:paraId="66E0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66886522">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6974" w:type="dxa"/>
            <w:vAlign w:val="center"/>
          </w:tcPr>
          <w:p w14:paraId="55392FDD">
            <w:pPr>
              <w:rPr>
                <w:rFonts w:ascii="宋体" w:hAnsi="宋体" w:cs="宋体"/>
                <w:bCs/>
                <w:color w:val="auto"/>
                <w:sz w:val="22"/>
                <w:szCs w:val="22"/>
                <w:highlight w:val="none"/>
              </w:rPr>
            </w:pPr>
            <w:r>
              <w:rPr>
                <w:rFonts w:hint="eastAsia" w:ascii="宋体" w:hAnsi="宋体" w:cs="宋体"/>
                <w:color w:val="auto"/>
                <w:sz w:val="22"/>
                <w:szCs w:val="22"/>
                <w:highlight w:val="none"/>
              </w:rPr>
              <w:t>投标人认证证书</w:t>
            </w:r>
          </w:p>
        </w:tc>
        <w:tc>
          <w:tcPr>
            <w:tcW w:w="1388" w:type="dxa"/>
            <w:vAlign w:val="center"/>
          </w:tcPr>
          <w:p w14:paraId="5F853EB4">
            <w:pPr>
              <w:jc w:val="center"/>
              <w:rPr>
                <w:rFonts w:ascii="宋体" w:hAnsi="宋体" w:cs="宋体"/>
                <w:bCs/>
                <w:color w:val="auto"/>
                <w:sz w:val="22"/>
                <w:szCs w:val="22"/>
                <w:highlight w:val="none"/>
              </w:rPr>
            </w:pPr>
            <w:r>
              <w:rPr>
                <w:rFonts w:hint="eastAsia" w:ascii="宋体" w:hAnsi="宋体" w:cs="宋体"/>
                <w:color w:val="auto"/>
                <w:sz w:val="22"/>
                <w:szCs w:val="22"/>
                <w:highlight w:val="none"/>
              </w:rPr>
              <w:t>附件十二</w:t>
            </w:r>
          </w:p>
        </w:tc>
      </w:tr>
      <w:tr w14:paraId="6D74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3CF305BC">
            <w:pPr>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6974" w:type="dxa"/>
            <w:vAlign w:val="center"/>
          </w:tcPr>
          <w:p w14:paraId="6E3DDFB0">
            <w:pPr>
              <w:rPr>
                <w:rFonts w:ascii="宋体" w:hAnsi="宋体" w:cs="宋体"/>
                <w:bCs/>
                <w:color w:val="auto"/>
                <w:sz w:val="22"/>
                <w:szCs w:val="22"/>
                <w:highlight w:val="none"/>
              </w:rPr>
            </w:pPr>
            <w:r>
              <w:rPr>
                <w:rFonts w:hint="eastAsia" w:ascii="宋体" w:hAnsi="宋体" w:cs="宋体"/>
                <w:bCs/>
                <w:color w:val="auto"/>
                <w:sz w:val="22"/>
                <w:szCs w:val="22"/>
                <w:highlight w:val="none"/>
              </w:rPr>
              <w:t>投标技术方案</w:t>
            </w:r>
          </w:p>
        </w:tc>
        <w:tc>
          <w:tcPr>
            <w:tcW w:w="1388" w:type="dxa"/>
            <w:vAlign w:val="center"/>
          </w:tcPr>
          <w:p w14:paraId="75170917">
            <w:pPr>
              <w:jc w:val="center"/>
              <w:rPr>
                <w:rFonts w:ascii="宋体" w:hAnsi="宋体" w:cs="宋体"/>
                <w:bCs/>
                <w:color w:val="auto"/>
                <w:sz w:val="22"/>
                <w:szCs w:val="22"/>
                <w:highlight w:val="none"/>
              </w:rPr>
            </w:pPr>
          </w:p>
        </w:tc>
      </w:tr>
      <w:tr w14:paraId="41DB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01E1AD1A">
            <w:pPr>
              <w:jc w:val="center"/>
              <w:rPr>
                <w:rFonts w:ascii="宋体" w:hAnsi="宋体" w:cs="宋体"/>
                <w:color w:val="auto"/>
                <w:sz w:val="22"/>
                <w:szCs w:val="22"/>
                <w:highlight w:val="none"/>
              </w:rPr>
            </w:pPr>
            <w:r>
              <w:rPr>
                <w:rFonts w:hint="eastAsia" w:ascii="宋体" w:hAnsi="宋体" w:cs="宋体"/>
                <w:color w:val="auto"/>
                <w:sz w:val="22"/>
                <w:szCs w:val="22"/>
                <w:highlight w:val="none"/>
              </w:rPr>
              <w:t>6.1</w:t>
            </w:r>
          </w:p>
        </w:tc>
        <w:tc>
          <w:tcPr>
            <w:tcW w:w="6974" w:type="dxa"/>
            <w:vAlign w:val="center"/>
          </w:tcPr>
          <w:p w14:paraId="0D210D87">
            <w:pPr>
              <w:rPr>
                <w:rFonts w:ascii="宋体" w:hAnsi="宋体" w:cs="宋体"/>
                <w:color w:val="auto"/>
                <w:sz w:val="22"/>
                <w:szCs w:val="22"/>
                <w:highlight w:val="none"/>
              </w:rPr>
            </w:pPr>
            <w:r>
              <w:rPr>
                <w:rFonts w:hint="eastAsia" w:ascii="宋体" w:hAnsi="宋体" w:cs="宋体"/>
                <w:color w:val="auto"/>
                <w:sz w:val="22"/>
                <w:szCs w:val="22"/>
                <w:highlight w:val="none"/>
              </w:rPr>
              <w:t>项目组人员配置一览表（相关证明材料详见评标办法）</w:t>
            </w:r>
          </w:p>
        </w:tc>
        <w:tc>
          <w:tcPr>
            <w:tcW w:w="1388" w:type="dxa"/>
            <w:vAlign w:val="center"/>
          </w:tcPr>
          <w:p w14:paraId="61A62F23">
            <w:pPr>
              <w:jc w:val="center"/>
              <w:rPr>
                <w:rFonts w:ascii="宋体" w:hAnsi="宋体" w:cs="宋体"/>
                <w:bCs/>
                <w:color w:val="auto"/>
                <w:sz w:val="22"/>
                <w:szCs w:val="22"/>
                <w:highlight w:val="none"/>
              </w:rPr>
            </w:pPr>
            <w:r>
              <w:rPr>
                <w:rFonts w:hint="eastAsia" w:ascii="宋体" w:hAnsi="宋体" w:cs="宋体"/>
                <w:color w:val="auto"/>
                <w:sz w:val="22"/>
                <w:szCs w:val="22"/>
                <w:highlight w:val="none"/>
              </w:rPr>
              <w:t>附件十三-1</w:t>
            </w:r>
          </w:p>
        </w:tc>
      </w:tr>
      <w:tr w14:paraId="4131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0B061430">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6.</w:t>
            </w:r>
            <w:r>
              <w:rPr>
                <w:rFonts w:hint="eastAsia" w:ascii="宋体" w:hAnsi="宋体" w:cs="宋体"/>
                <w:color w:val="auto"/>
                <w:sz w:val="22"/>
                <w:szCs w:val="22"/>
                <w:highlight w:val="none"/>
                <w:lang w:val="en-US" w:eastAsia="zh-CN"/>
              </w:rPr>
              <w:t>2</w:t>
            </w:r>
          </w:p>
        </w:tc>
        <w:tc>
          <w:tcPr>
            <w:tcW w:w="6974" w:type="dxa"/>
            <w:vAlign w:val="center"/>
          </w:tcPr>
          <w:p w14:paraId="504BE8EF">
            <w:pPr>
              <w:rPr>
                <w:rFonts w:ascii="宋体" w:hAnsi="宋体" w:cs="宋体"/>
                <w:bCs/>
                <w:color w:val="auto"/>
                <w:sz w:val="22"/>
                <w:szCs w:val="22"/>
                <w:highlight w:val="none"/>
              </w:rPr>
            </w:pPr>
            <w:r>
              <w:rPr>
                <w:rFonts w:hint="eastAsia" w:ascii="宋体" w:hAnsi="宋体" w:cs="宋体"/>
                <w:bCs/>
                <w:color w:val="auto"/>
                <w:sz w:val="22"/>
                <w:szCs w:val="22"/>
                <w:highlight w:val="none"/>
              </w:rPr>
              <w:t>编制工作技术路线和方法</w:t>
            </w:r>
          </w:p>
        </w:tc>
        <w:tc>
          <w:tcPr>
            <w:tcW w:w="1388" w:type="dxa"/>
            <w:vAlign w:val="center"/>
          </w:tcPr>
          <w:p w14:paraId="63AF0A55">
            <w:pPr>
              <w:jc w:val="center"/>
              <w:rPr>
                <w:rFonts w:ascii="宋体" w:hAnsi="宋体" w:cs="宋体"/>
                <w:bCs/>
                <w:color w:val="auto"/>
                <w:sz w:val="22"/>
                <w:szCs w:val="22"/>
                <w:highlight w:val="none"/>
              </w:rPr>
            </w:pPr>
            <w:r>
              <w:rPr>
                <w:rFonts w:hint="eastAsia" w:ascii="宋体" w:hAnsi="宋体" w:cs="宋体"/>
                <w:color w:val="auto"/>
                <w:sz w:val="22"/>
                <w:szCs w:val="22"/>
                <w:highlight w:val="none"/>
              </w:rPr>
              <w:t>附件十三-</w:t>
            </w:r>
            <w:r>
              <w:rPr>
                <w:rFonts w:hint="eastAsia" w:ascii="宋体" w:hAnsi="宋体" w:cs="宋体"/>
                <w:color w:val="auto"/>
                <w:sz w:val="22"/>
                <w:szCs w:val="22"/>
                <w:highlight w:val="none"/>
                <w:lang w:val="en-US" w:eastAsia="zh-CN"/>
              </w:rPr>
              <w:t>2</w:t>
            </w:r>
          </w:p>
        </w:tc>
      </w:tr>
      <w:tr w14:paraId="2D9D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457B8FA6">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6.</w:t>
            </w:r>
            <w:r>
              <w:rPr>
                <w:rFonts w:hint="eastAsia" w:ascii="宋体" w:hAnsi="宋体" w:cs="宋体"/>
                <w:color w:val="auto"/>
                <w:sz w:val="22"/>
                <w:szCs w:val="22"/>
                <w:highlight w:val="none"/>
                <w:lang w:val="en-US" w:eastAsia="zh-CN"/>
              </w:rPr>
              <w:t>3</w:t>
            </w:r>
          </w:p>
        </w:tc>
        <w:tc>
          <w:tcPr>
            <w:tcW w:w="6974" w:type="dxa"/>
            <w:vAlign w:val="center"/>
          </w:tcPr>
          <w:p w14:paraId="7461DCB2">
            <w:pPr>
              <w:rPr>
                <w:rFonts w:ascii="宋体" w:hAnsi="宋体" w:cs="宋体"/>
                <w:bCs/>
                <w:color w:val="auto"/>
                <w:sz w:val="22"/>
                <w:szCs w:val="22"/>
                <w:highlight w:val="none"/>
              </w:rPr>
            </w:pPr>
            <w:r>
              <w:rPr>
                <w:rFonts w:hint="eastAsia" w:ascii="宋体" w:hAnsi="宋体" w:cs="宋体"/>
                <w:bCs/>
                <w:color w:val="auto"/>
                <w:sz w:val="22"/>
                <w:szCs w:val="22"/>
                <w:highlight w:val="none"/>
              </w:rPr>
              <w:t>对本项目实施过程中重难点分析及应对措施</w:t>
            </w:r>
          </w:p>
        </w:tc>
        <w:tc>
          <w:tcPr>
            <w:tcW w:w="1388" w:type="dxa"/>
            <w:vAlign w:val="center"/>
          </w:tcPr>
          <w:p w14:paraId="10170BE5">
            <w:pPr>
              <w:jc w:val="center"/>
              <w:rPr>
                <w:rFonts w:ascii="宋体" w:hAnsi="宋体" w:cs="宋体"/>
                <w:bCs/>
                <w:color w:val="auto"/>
                <w:sz w:val="22"/>
                <w:szCs w:val="22"/>
                <w:highlight w:val="none"/>
              </w:rPr>
            </w:pPr>
            <w:r>
              <w:rPr>
                <w:rFonts w:hint="eastAsia" w:ascii="宋体" w:hAnsi="宋体" w:cs="宋体"/>
                <w:color w:val="auto"/>
                <w:sz w:val="22"/>
                <w:szCs w:val="22"/>
                <w:highlight w:val="none"/>
              </w:rPr>
              <w:t>附件十三-</w:t>
            </w:r>
            <w:r>
              <w:rPr>
                <w:rFonts w:hint="eastAsia" w:ascii="宋体" w:hAnsi="宋体" w:cs="宋体"/>
                <w:color w:val="auto"/>
                <w:sz w:val="22"/>
                <w:szCs w:val="22"/>
                <w:highlight w:val="none"/>
                <w:lang w:val="en-US" w:eastAsia="zh-CN"/>
              </w:rPr>
              <w:t>3</w:t>
            </w:r>
          </w:p>
        </w:tc>
      </w:tr>
      <w:tr w14:paraId="3E73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30BBD1F0">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6.</w:t>
            </w:r>
            <w:r>
              <w:rPr>
                <w:rFonts w:hint="eastAsia" w:ascii="宋体" w:hAnsi="宋体" w:cs="宋体"/>
                <w:color w:val="auto"/>
                <w:sz w:val="22"/>
                <w:szCs w:val="22"/>
                <w:highlight w:val="none"/>
                <w:lang w:val="en-US" w:eastAsia="zh-CN"/>
              </w:rPr>
              <w:t>4</w:t>
            </w:r>
          </w:p>
        </w:tc>
        <w:tc>
          <w:tcPr>
            <w:tcW w:w="6974" w:type="dxa"/>
            <w:vAlign w:val="center"/>
          </w:tcPr>
          <w:p w14:paraId="23273489">
            <w:pPr>
              <w:rPr>
                <w:rFonts w:ascii="宋体" w:hAnsi="宋体" w:cs="宋体"/>
                <w:bCs/>
                <w:color w:val="auto"/>
                <w:sz w:val="22"/>
                <w:szCs w:val="22"/>
                <w:highlight w:val="none"/>
              </w:rPr>
            </w:pPr>
            <w:r>
              <w:rPr>
                <w:rFonts w:hint="eastAsia" w:ascii="宋体" w:hAnsi="宋体" w:cs="宋体"/>
                <w:bCs/>
                <w:color w:val="auto"/>
                <w:sz w:val="22"/>
                <w:szCs w:val="22"/>
                <w:highlight w:val="none"/>
              </w:rPr>
              <w:t>质量保证措施</w:t>
            </w:r>
          </w:p>
        </w:tc>
        <w:tc>
          <w:tcPr>
            <w:tcW w:w="1388" w:type="dxa"/>
            <w:vAlign w:val="center"/>
          </w:tcPr>
          <w:p w14:paraId="39FCCE8D">
            <w:pPr>
              <w:jc w:val="center"/>
              <w:rPr>
                <w:rFonts w:ascii="宋体" w:hAnsi="宋体" w:cs="宋体"/>
                <w:bCs/>
                <w:color w:val="auto"/>
                <w:sz w:val="22"/>
                <w:szCs w:val="22"/>
                <w:highlight w:val="none"/>
              </w:rPr>
            </w:pPr>
            <w:r>
              <w:rPr>
                <w:rFonts w:hint="eastAsia" w:ascii="宋体" w:hAnsi="宋体" w:cs="宋体"/>
                <w:color w:val="auto"/>
                <w:sz w:val="22"/>
                <w:szCs w:val="22"/>
                <w:highlight w:val="none"/>
              </w:rPr>
              <w:t>附件十三-</w:t>
            </w:r>
            <w:r>
              <w:rPr>
                <w:rFonts w:hint="eastAsia" w:ascii="宋体" w:hAnsi="宋体" w:cs="宋体"/>
                <w:color w:val="auto"/>
                <w:sz w:val="22"/>
                <w:szCs w:val="22"/>
                <w:highlight w:val="none"/>
                <w:lang w:val="en-US" w:eastAsia="zh-CN"/>
              </w:rPr>
              <w:t>4</w:t>
            </w:r>
          </w:p>
        </w:tc>
      </w:tr>
      <w:tr w14:paraId="2024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1FD86545">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6.</w:t>
            </w:r>
            <w:r>
              <w:rPr>
                <w:rFonts w:hint="eastAsia" w:ascii="宋体" w:hAnsi="宋体" w:cs="宋体"/>
                <w:color w:val="auto"/>
                <w:sz w:val="22"/>
                <w:szCs w:val="22"/>
                <w:highlight w:val="none"/>
                <w:lang w:val="en-US" w:eastAsia="zh-CN"/>
              </w:rPr>
              <w:t>5</w:t>
            </w:r>
          </w:p>
        </w:tc>
        <w:tc>
          <w:tcPr>
            <w:tcW w:w="6974" w:type="dxa"/>
            <w:vAlign w:val="center"/>
          </w:tcPr>
          <w:p w14:paraId="1198BAC4">
            <w:pPr>
              <w:rPr>
                <w:rFonts w:ascii="宋体" w:hAnsi="宋体" w:cs="宋体"/>
                <w:bCs/>
                <w:color w:val="auto"/>
                <w:sz w:val="22"/>
                <w:szCs w:val="22"/>
                <w:highlight w:val="none"/>
              </w:rPr>
            </w:pPr>
            <w:r>
              <w:rPr>
                <w:rFonts w:hint="eastAsia" w:ascii="宋体" w:hAnsi="宋体" w:cs="宋体"/>
                <w:color w:val="auto"/>
                <w:sz w:val="22"/>
                <w:szCs w:val="22"/>
                <w:highlight w:val="none"/>
              </w:rPr>
              <w:t>进度保证措施</w:t>
            </w:r>
          </w:p>
        </w:tc>
        <w:tc>
          <w:tcPr>
            <w:tcW w:w="1388" w:type="dxa"/>
            <w:vAlign w:val="center"/>
          </w:tcPr>
          <w:p w14:paraId="0D3D53AE">
            <w:pPr>
              <w:jc w:val="center"/>
              <w:rPr>
                <w:rFonts w:ascii="宋体" w:hAnsi="宋体" w:cs="宋体"/>
                <w:bCs/>
                <w:color w:val="auto"/>
                <w:sz w:val="22"/>
                <w:szCs w:val="22"/>
                <w:highlight w:val="none"/>
              </w:rPr>
            </w:pPr>
            <w:r>
              <w:rPr>
                <w:rFonts w:hint="eastAsia" w:ascii="宋体" w:hAnsi="宋体" w:cs="宋体"/>
                <w:color w:val="auto"/>
                <w:sz w:val="22"/>
                <w:szCs w:val="22"/>
                <w:highlight w:val="none"/>
              </w:rPr>
              <w:t>附件十三-</w:t>
            </w:r>
            <w:r>
              <w:rPr>
                <w:rFonts w:hint="eastAsia" w:ascii="宋体" w:hAnsi="宋体" w:cs="宋体"/>
                <w:color w:val="auto"/>
                <w:sz w:val="22"/>
                <w:szCs w:val="22"/>
                <w:highlight w:val="none"/>
                <w:lang w:val="en-US" w:eastAsia="zh-CN"/>
              </w:rPr>
              <w:t>5</w:t>
            </w:r>
          </w:p>
        </w:tc>
      </w:tr>
      <w:tr w14:paraId="0244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14:paraId="00BA0B26">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7</w:t>
            </w:r>
          </w:p>
        </w:tc>
        <w:tc>
          <w:tcPr>
            <w:tcW w:w="6974" w:type="dxa"/>
            <w:vAlign w:val="center"/>
          </w:tcPr>
          <w:p w14:paraId="25A363BE">
            <w:pPr>
              <w:widowControl/>
              <w:rPr>
                <w:rFonts w:ascii="宋体" w:hAnsi="宋体" w:cs="宋体"/>
                <w:color w:val="auto"/>
                <w:sz w:val="22"/>
                <w:szCs w:val="22"/>
                <w:highlight w:val="none"/>
              </w:rPr>
            </w:pPr>
            <w:r>
              <w:rPr>
                <w:rFonts w:hint="eastAsia" w:ascii="宋体" w:hAnsi="宋体" w:cs="宋体"/>
                <w:color w:val="auto"/>
                <w:sz w:val="22"/>
                <w:szCs w:val="22"/>
                <w:highlight w:val="none"/>
              </w:rPr>
              <w:t>其他投标人认为需要提供的资信证明材料及内容</w:t>
            </w:r>
          </w:p>
        </w:tc>
        <w:tc>
          <w:tcPr>
            <w:tcW w:w="1388" w:type="dxa"/>
            <w:vAlign w:val="center"/>
          </w:tcPr>
          <w:p w14:paraId="1C389941">
            <w:pPr>
              <w:rPr>
                <w:rFonts w:ascii="宋体" w:hAnsi="宋体" w:cs="宋体"/>
                <w:bCs/>
                <w:color w:val="auto"/>
                <w:sz w:val="22"/>
                <w:szCs w:val="22"/>
                <w:highlight w:val="none"/>
              </w:rPr>
            </w:pPr>
            <w:r>
              <w:rPr>
                <w:rFonts w:hint="eastAsia" w:ascii="宋体" w:hAnsi="宋体" w:cs="宋体"/>
                <w:color w:val="auto"/>
                <w:sz w:val="22"/>
                <w:szCs w:val="22"/>
                <w:highlight w:val="none"/>
              </w:rPr>
              <w:t>附件十四</w:t>
            </w:r>
          </w:p>
        </w:tc>
      </w:tr>
    </w:tbl>
    <w:p w14:paraId="328D3C19">
      <w:pPr>
        <w:numPr>
          <w:ilvl w:val="255"/>
          <w:numId w:val="0"/>
        </w:numPr>
        <w:spacing w:line="440" w:lineRule="exact"/>
        <w:ind w:left="9" w:hanging="9" w:hangingChars="4"/>
        <w:rPr>
          <w:rFonts w:ascii="宋体" w:hAnsi="宋体" w:cs="宋体"/>
          <w:color w:val="auto"/>
          <w:sz w:val="22"/>
          <w:szCs w:val="22"/>
          <w:highlight w:val="none"/>
        </w:rPr>
      </w:pPr>
      <w:r>
        <w:rPr>
          <w:rFonts w:hint="eastAsia" w:ascii="宋体" w:hAnsi="宋体" w:cs="宋体"/>
          <w:b/>
          <w:color w:val="auto"/>
          <w:sz w:val="22"/>
          <w:szCs w:val="22"/>
          <w:highlight w:val="none"/>
        </w:rPr>
        <w:t>说明：</w:t>
      </w:r>
      <w:r>
        <w:rPr>
          <w:rFonts w:hint="eastAsia" w:ascii="宋体" w:hAnsi="宋体" w:cs="宋体"/>
          <w:color w:val="auto"/>
          <w:kern w:val="0"/>
          <w:sz w:val="22"/>
          <w:szCs w:val="22"/>
          <w:highlight w:val="none"/>
          <w:lang w:val="zh-CN"/>
        </w:rPr>
        <w:t>投标人可根据招标文件中的招标需求及要求以及</w:t>
      </w:r>
      <w:r>
        <w:rPr>
          <w:rFonts w:hint="eastAsia" w:ascii="宋体" w:hAnsi="宋体" w:cs="宋体"/>
          <w:color w:val="auto"/>
          <w:sz w:val="22"/>
          <w:szCs w:val="22"/>
          <w:highlight w:val="none"/>
        </w:rPr>
        <w:t>商务技术标评审标准</w:t>
      </w:r>
      <w:r>
        <w:rPr>
          <w:rFonts w:hint="eastAsia" w:ascii="宋体" w:hAnsi="宋体" w:cs="宋体"/>
          <w:color w:val="auto"/>
          <w:kern w:val="0"/>
          <w:sz w:val="22"/>
          <w:szCs w:val="22"/>
          <w:highlight w:val="none"/>
          <w:lang w:val="zh-CN"/>
        </w:rPr>
        <w:t>，提供投标人认为需要提供的文件和资料。</w:t>
      </w:r>
    </w:p>
    <w:p w14:paraId="7E8BC3A0">
      <w:pPr>
        <w:numPr>
          <w:ilvl w:val="255"/>
          <w:numId w:val="0"/>
        </w:numPr>
        <w:spacing w:line="440" w:lineRule="exact"/>
        <w:ind w:left="178"/>
        <w:rPr>
          <w:rFonts w:ascii="宋体" w:hAnsi="宋体" w:cs="宋体"/>
          <w:b/>
          <w:color w:val="auto"/>
          <w:sz w:val="22"/>
          <w:szCs w:val="22"/>
          <w:highlight w:val="none"/>
        </w:rPr>
      </w:pPr>
      <w:r>
        <w:rPr>
          <w:rFonts w:hint="eastAsia" w:ascii="宋体" w:hAnsi="宋体" w:cs="宋体"/>
          <w:b/>
          <w:color w:val="auto"/>
          <w:sz w:val="22"/>
          <w:szCs w:val="22"/>
          <w:highlight w:val="none"/>
        </w:rPr>
        <w:t>（3）价格标</w:t>
      </w:r>
    </w:p>
    <w:tbl>
      <w:tblPr>
        <w:tblStyle w:val="30"/>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170"/>
        <w:gridCol w:w="1400"/>
      </w:tblGrid>
      <w:tr w14:paraId="4C76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14:paraId="38D4A374">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7170" w:type="dxa"/>
            <w:vAlign w:val="center"/>
          </w:tcPr>
          <w:p w14:paraId="5A280461">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内容</w:t>
            </w:r>
          </w:p>
        </w:tc>
        <w:tc>
          <w:tcPr>
            <w:tcW w:w="1400" w:type="dxa"/>
            <w:vAlign w:val="center"/>
          </w:tcPr>
          <w:p w14:paraId="08FA2626">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备注</w:t>
            </w:r>
          </w:p>
        </w:tc>
      </w:tr>
      <w:tr w14:paraId="6FB4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14:paraId="097B35BA">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1</w:t>
            </w:r>
          </w:p>
        </w:tc>
        <w:tc>
          <w:tcPr>
            <w:tcW w:w="7170" w:type="dxa"/>
            <w:vAlign w:val="center"/>
          </w:tcPr>
          <w:p w14:paraId="47222A17">
            <w:pPr>
              <w:rPr>
                <w:rFonts w:ascii="宋体" w:hAnsi="宋体" w:cs="宋体"/>
                <w:bCs/>
                <w:color w:val="auto"/>
                <w:sz w:val="22"/>
                <w:szCs w:val="22"/>
                <w:highlight w:val="none"/>
              </w:rPr>
            </w:pPr>
            <w:r>
              <w:rPr>
                <w:rFonts w:hint="eastAsia" w:ascii="宋体" w:hAnsi="宋体" w:cs="宋体"/>
                <w:bCs/>
                <w:color w:val="auto"/>
                <w:sz w:val="22"/>
                <w:szCs w:val="22"/>
                <w:highlight w:val="none"/>
              </w:rPr>
              <w:t>投标报价一览表</w:t>
            </w:r>
          </w:p>
        </w:tc>
        <w:tc>
          <w:tcPr>
            <w:tcW w:w="1400" w:type="dxa"/>
            <w:vAlign w:val="center"/>
          </w:tcPr>
          <w:p w14:paraId="662BBB2C">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附件十五</w:t>
            </w:r>
          </w:p>
        </w:tc>
      </w:tr>
    </w:tbl>
    <w:p w14:paraId="640D6AC0">
      <w:pPr>
        <w:pStyle w:val="12"/>
        <w:spacing w:line="440" w:lineRule="exact"/>
        <w:ind w:firstLine="442" w:firstLineChars="200"/>
        <w:rPr>
          <w:rFonts w:ascii="宋体" w:hAnsi="宋体" w:cs="宋体"/>
          <w:b/>
          <w:color w:val="auto"/>
          <w:sz w:val="22"/>
          <w:szCs w:val="22"/>
          <w:highlight w:val="none"/>
        </w:rPr>
      </w:pPr>
      <w:bookmarkStart w:id="37" w:name="_Toc50128391"/>
      <w:bookmarkStart w:id="38" w:name="_Toc527495473"/>
      <w:bookmarkStart w:id="39" w:name="_Toc14400"/>
      <w:r>
        <w:rPr>
          <w:rFonts w:hint="eastAsia" w:ascii="宋体" w:hAnsi="宋体" w:cs="宋体"/>
          <w:b/>
          <w:bCs/>
          <w:color w:val="auto"/>
          <w:sz w:val="22"/>
          <w:szCs w:val="22"/>
          <w:highlight w:val="none"/>
        </w:rPr>
        <w:t>★注：投标函、法定代表人授权委托书（或法定代表人资格证明书）、投标声明书、各类承诺函、投标报价一览表</w:t>
      </w:r>
      <w:r>
        <w:rPr>
          <w:rFonts w:hint="eastAsia" w:ascii="宋体" w:hAnsi="宋体" w:cs="宋体"/>
          <w:b/>
          <w:color w:val="auto"/>
          <w:sz w:val="22"/>
          <w:szCs w:val="22"/>
          <w:highlight w:val="none"/>
        </w:rPr>
        <w:t>必须加盖单位公章。</w:t>
      </w:r>
      <w:bookmarkEnd w:id="37"/>
      <w:bookmarkEnd w:id="38"/>
    </w:p>
    <w:p w14:paraId="29D77F69">
      <w:pPr>
        <w:snapToGrid w:val="0"/>
        <w:spacing w:line="440" w:lineRule="exact"/>
        <w:ind w:firstLine="440" w:firstLineChars="200"/>
        <w:jc w:val="left"/>
        <w:outlineLvl w:val="3"/>
        <w:rPr>
          <w:rFonts w:ascii="宋体" w:hAnsi="宋体" w:cs="宋体"/>
          <w:color w:val="auto"/>
          <w:sz w:val="22"/>
          <w:szCs w:val="22"/>
          <w:highlight w:val="none"/>
        </w:rPr>
      </w:pPr>
      <w:bookmarkStart w:id="40" w:name="_Toc527495474"/>
      <w:bookmarkStart w:id="41" w:name="_Toc50128392"/>
      <w:r>
        <w:rPr>
          <w:rFonts w:hint="eastAsia" w:ascii="宋体" w:hAnsi="宋体" w:cs="宋体"/>
          <w:color w:val="auto"/>
          <w:sz w:val="22"/>
          <w:szCs w:val="22"/>
          <w:highlight w:val="none"/>
        </w:rPr>
        <w:t>（二）投标文件的语言及计量</w:t>
      </w:r>
      <w:bookmarkEnd w:id="39"/>
      <w:bookmarkEnd w:id="40"/>
      <w:bookmarkEnd w:id="41"/>
    </w:p>
    <w:p w14:paraId="7B0C6AA1">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★1.投标文件以及投标人与招标人就关投标事宜的所有来往函电，均应以中文汉语书写。除签名、盖章、专用名称等特殊情形外，以中文汉语以外的文字表述的投标文件视同未提供。</w:t>
      </w:r>
    </w:p>
    <w:p w14:paraId="18436624">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★2.投标计量单位，招标文件已有明确规定的，使用招标文件规定的计量单位；招标文件没有规定的，应采用中华人民共和国法定计量单位（例如货币单位：人民币元），否则视同未响应。</w:t>
      </w:r>
    </w:p>
    <w:p w14:paraId="47D0D47F">
      <w:pPr>
        <w:snapToGrid w:val="0"/>
        <w:spacing w:line="440" w:lineRule="exact"/>
        <w:ind w:firstLine="442" w:firstLineChars="200"/>
        <w:jc w:val="left"/>
        <w:outlineLvl w:val="3"/>
        <w:rPr>
          <w:rFonts w:ascii="宋体" w:hAnsi="宋体" w:cs="宋体"/>
          <w:b/>
          <w:color w:val="auto"/>
          <w:sz w:val="22"/>
          <w:szCs w:val="22"/>
          <w:highlight w:val="none"/>
        </w:rPr>
      </w:pPr>
      <w:bookmarkStart w:id="42" w:name="_Toc527495475"/>
      <w:bookmarkStart w:id="43" w:name="_Toc30109"/>
      <w:bookmarkStart w:id="44" w:name="_Toc50128393"/>
      <w:r>
        <w:rPr>
          <w:rFonts w:hint="eastAsia" w:ascii="宋体" w:hAnsi="宋体" w:cs="宋体"/>
          <w:b/>
          <w:color w:val="auto"/>
          <w:sz w:val="22"/>
          <w:szCs w:val="22"/>
          <w:highlight w:val="none"/>
        </w:rPr>
        <w:t>（三）投标报价</w:t>
      </w:r>
      <w:bookmarkEnd w:id="42"/>
      <w:bookmarkEnd w:id="43"/>
      <w:bookmarkEnd w:id="44"/>
    </w:p>
    <w:p w14:paraId="70BAA560">
      <w:pPr>
        <w:snapToGrid w:val="0"/>
        <w:spacing w:line="440" w:lineRule="exact"/>
        <w:ind w:firstLine="442" w:firstLineChars="200"/>
        <w:jc w:val="left"/>
        <w:rPr>
          <w:rFonts w:ascii="宋体" w:hAnsi="宋体" w:cs="宋体"/>
          <w:b/>
          <w:color w:val="auto"/>
          <w:sz w:val="22"/>
          <w:szCs w:val="22"/>
          <w:highlight w:val="none"/>
        </w:rPr>
      </w:pPr>
      <w:bookmarkStart w:id="45" w:name="_Toc26553"/>
      <w:bookmarkStart w:id="46" w:name="_Toc50128394"/>
      <w:bookmarkStart w:id="47" w:name="_Toc527495476"/>
      <w:r>
        <w:rPr>
          <w:rFonts w:hint="eastAsia" w:ascii="宋体" w:hAnsi="宋体" w:cs="宋体"/>
          <w:b/>
          <w:color w:val="auto"/>
          <w:sz w:val="22"/>
          <w:szCs w:val="22"/>
          <w:highlight w:val="none"/>
        </w:rPr>
        <w:t>1.投标报价应按招标文件中相关附表格式填写。</w:t>
      </w:r>
      <w:bookmarkEnd w:id="45"/>
      <w:bookmarkEnd w:id="46"/>
      <w:bookmarkEnd w:id="47"/>
    </w:p>
    <w:p w14:paraId="3BC0918B">
      <w:pPr>
        <w:snapToGrid w:val="0"/>
        <w:spacing w:line="440" w:lineRule="exact"/>
        <w:ind w:firstLine="442" w:firstLineChars="200"/>
        <w:jc w:val="left"/>
        <w:rPr>
          <w:rFonts w:ascii="宋体" w:hAnsi="宋体" w:cs="宋体"/>
          <w:b/>
          <w:color w:val="auto"/>
          <w:sz w:val="22"/>
          <w:szCs w:val="22"/>
          <w:highlight w:val="none"/>
          <w:lang w:val="zh-CN"/>
        </w:rPr>
      </w:pPr>
      <w:bookmarkStart w:id="48" w:name="_Toc27262"/>
      <w:bookmarkStart w:id="49" w:name="_Toc527495477"/>
      <w:r>
        <w:rPr>
          <w:rFonts w:hint="eastAsia" w:ascii="宋体" w:hAnsi="宋体" w:cs="宋体"/>
          <w:b/>
          <w:color w:val="auto"/>
          <w:sz w:val="22"/>
          <w:szCs w:val="22"/>
          <w:highlight w:val="none"/>
        </w:rPr>
        <w:t>★2.</w:t>
      </w:r>
      <w:bookmarkEnd w:id="48"/>
      <w:bookmarkEnd w:id="49"/>
      <w:r>
        <w:rPr>
          <w:rFonts w:hint="eastAsia" w:ascii="宋体" w:hAnsi="宋体" w:cs="宋体"/>
          <w:b/>
          <w:color w:val="auto"/>
          <w:sz w:val="22"/>
          <w:szCs w:val="22"/>
          <w:highlight w:val="none"/>
          <w:lang w:val="zh-CN"/>
        </w:rPr>
        <w:t>本次报价是包含招标文件规定的包括但不限于勘测费、资料费、专家评审费、会务费、人工费、设备（软件）费、差旅费、印刷打印费、间接费用、保险税金、平台交易服务费、利润等一切费用，总价包干。</w:t>
      </w:r>
    </w:p>
    <w:p w14:paraId="100812F2">
      <w:pPr>
        <w:snapToGrid w:val="0"/>
        <w:spacing w:line="440" w:lineRule="exact"/>
        <w:ind w:firstLine="442" w:firstLineChars="200"/>
        <w:jc w:val="left"/>
        <w:rPr>
          <w:rFonts w:ascii="宋体" w:hAnsi="宋体" w:cs="宋体"/>
          <w:b/>
          <w:color w:val="auto"/>
          <w:sz w:val="22"/>
          <w:szCs w:val="22"/>
          <w:highlight w:val="none"/>
        </w:rPr>
      </w:pPr>
      <w:bookmarkStart w:id="50" w:name="_Toc50128396"/>
      <w:bookmarkStart w:id="51" w:name="_Toc527495478"/>
      <w:bookmarkStart w:id="52" w:name="_Toc4050"/>
      <w:r>
        <w:rPr>
          <w:rFonts w:hint="eastAsia" w:ascii="宋体" w:hAnsi="宋体" w:cs="宋体"/>
          <w:b/>
          <w:color w:val="auto"/>
          <w:sz w:val="22"/>
          <w:szCs w:val="22"/>
          <w:highlight w:val="none"/>
        </w:rPr>
        <w:t>★3.投标文件只允许有一个投标价，有选择的或有条件的报价将不予接受。</w:t>
      </w:r>
      <w:bookmarkEnd w:id="50"/>
      <w:bookmarkEnd w:id="51"/>
      <w:bookmarkEnd w:id="52"/>
    </w:p>
    <w:p w14:paraId="31F2D5A7">
      <w:pPr>
        <w:snapToGrid w:val="0"/>
        <w:spacing w:line="440" w:lineRule="exact"/>
        <w:ind w:firstLine="442" w:firstLineChars="200"/>
        <w:jc w:val="left"/>
        <w:rPr>
          <w:rFonts w:ascii="宋体" w:hAnsi="宋体" w:cs="宋体"/>
          <w:b/>
          <w:color w:val="auto"/>
          <w:sz w:val="22"/>
          <w:szCs w:val="22"/>
          <w:highlight w:val="none"/>
        </w:rPr>
      </w:pPr>
      <w:r>
        <w:rPr>
          <w:rFonts w:hint="eastAsia" w:ascii="宋体" w:hAnsi="宋体" w:cs="宋体"/>
          <w:b/>
          <w:color w:val="auto"/>
          <w:sz w:val="22"/>
          <w:szCs w:val="22"/>
          <w:highlight w:val="none"/>
        </w:rPr>
        <w:t>★投标报价报出后，投标人不得以任何理由予以变更。任何包含价格调整的要求，将被认为是非实质性响应投标而予以拒绝。</w:t>
      </w:r>
    </w:p>
    <w:p w14:paraId="66DF2B2C">
      <w:pPr>
        <w:spacing w:line="440" w:lineRule="exact"/>
        <w:ind w:firstLine="442" w:firstLineChars="200"/>
        <w:outlineLvl w:val="3"/>
        <w:rPr>
          <w:rFonts w:ascii="宋体" w:hAnsi="宋体" w:cs="宋体"/>
          <w:b/>
          <w:color w:val="auto"/>
          <w:sz w:val="22"/>
          <w:szCs w:val="22"/>
          <w:highlight w:val="none"/>
        </w:rPr>
      </w:pPr>
      <w:bookmarkStart w:id="53" w:name="_Toc527495479"/>
      <w:bookmarkStart w:id="54" w:name="_Toc50128397"/>
      <w:bookmarkStart w:id="55" w:name="_Toc11291"/>
      <w:r>
        <w:rPr>
          <w:rFonts w:hint="eastAsia" w:ascii="宋体" w:hAnsi="宋体" w:cs="宋体"/>
          <w:b/>
          <w:color w:val="auto"/>
          <w:sz w:val="22"/>
          <w:szCs w:val="22"/>
          <w:highlight w:val="none"/>
        </w:rPr>
        <w:t>（四）投标文件的有效期</w:t>
      </w:r>
      <w:bookmarkEnd w:id="53"/>
      <w:bookmarkEnd w:id="54"/>
      <w:bookmarkEnd w:id="55"/>
    </w:p>
    <w:p w14:paraId="42B609AF">
      <w:pPr>
        <w:pStyle w:val="8"/>
        <w:numPr>
          <w:ilvl w:val="0"/>
          <w:numId w:val="0"/>
        </w:numPr>
        <w:snapToGrid w:val="0"/>
        <w:spacing w:line="44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★1.自投标截止日起</w:t>
      </w:r>
      <w:r>
        <w:rPr>
          <w:rFonts w:hint="eastAsia" w:ascii="宋体" w:hAnsi="宋体" w:cs="宋体"/>
          <w:b/>
          <w:color w:val="auto"/>
          <w:sz w:val="22"/>
          <w:szCs w:val="22"/>
          <w:highlight w:val="none"/>
          <w:u w:val="single"/>
        </w:rPr>
        <w:t>90</w:t>
      </w:r>
      <w:r>
        <w:rPr>
          <w:rFonts w:hint="eastAsia" w:ascii="宋体" w:hAnsi="宋体" w:cs="宋体"/>
          <w:b/>
          <w:color w:val="auto"/>
          <w:sz w:val="22"/>
          <w:szCs w:val="22"/>
          <w:highlight w:val="none"/>
        </w:rPr>
        <w:t>日投标文件应保持有效。有效期不足的投标文件将被拒绝。</w:t>
      </w:r>
    </w:p>
    <w:p w14:paraId="523DE94F">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2.在特殊情况下，招标人可与投标人协商延长投标书的有效期，这种要求和答复均以书面形式进行。</w:t>
      </w:r>
    </w:p>
    <w:p w14:paraId="3E269753">
      <w:pPr>
        <w:snapToGrid w:val="0"/>
        <w:spacing w:line="440" w:lineRule="exact"/>
        <w:ind w:firstLine="440" w:firstLineChars="200"/>
        <w:jc w:val="left"/>
        <w:rPr>
          <w:rFonts w:ascii="宋体" w:hAnsi="宋体" w:cs="宋体"/>
          <w:b/>
          <w:color w:val="auto"/>
          <w:sz w:val="22"/>
          <w:szCs w:val="22"/>
          <w:highlight w:val="none"/>
        </w:rPr>
      </w:pPr>
      <w:bookmarkStart w:id="56" w:name="_Toc527495480"/>
      <w:bookmarkStart w:id="57" w:name="_Toc50128398"/>
      <w:bookmarkStart w:id="58" w:name="_Toc13025"/>
      <w:r>
        <w:rPr>
          <w:rFonts w:hint="eastAsia" w:ascii="宋体" w:hAnsi="宋体" w:cs="宋体"/>
          <w:color w:val="auto"/>
          <w:sz w:val="22"/>
          <w:szCs w:val="22"/>
          <w:highlight w:val="none"/>
        </w:rPr>
        <w:t>3.投标人可拒绝接受延期要求而不会导致投标保证金被没收。同意延长有效期的投标人需要相应延长投标保证金的有效期，但不能修改投标文件。</w:t>
      </w:r>
      <w:bookmarkEnd w:id="56"/>
      <w:bookmarkEnd w:id="57"/>
      <w:bookmarkEnd w:id="58"/>
    </w:p>
    <w:p w14:paraId="7907C120">
      <w:pPr>
        <w:snapToGrid w:val="0"/>
        <w:spacing w:line="440" w:lineRule="exact"/>
        <w:ind w:firstLine="440" w:firstLineChars="200"/>
        <w:jc w:val="left"/>
        <w:rPr>
          <w:rFonts w:ascii="宋体" w:hAnsi="宋体" w:cs="宋体"/>
          <w:b/>
          <w:color w:val="auto"/>
          <w:sz w:val="22"/>
          <w:szCs w:val="22"/>
          <w:highlight w:val="none"/>
        </w:rPr>
      </w:pPr>
      <w:bookmarkStart w:id="59" w:name="_Toc50128399"/>
      <w:bookmarkStart w:id="60" w:name="_Toc527495481"/>
      <w:bookmarkStart w:id="61" w:name="_Toc19039"/>
      <w:r>
        <w:rPr>
          <w:rFonts w:hint="eastAsia" w:ascii="宋体" w:hAnsi="宋体" w:cs="宋体"/>
          <w:color w:val="auto"/>
          <w:sz w:val="22"/>
          <w:szCs w:val="22"/>
          <w:highlight w:val="none"/>
        </w:rPr>
        <w:t>4.中标人的投标文件自开标之日起至合同履行完毕止均应保持有效。</w:t>
      </w:r>
      <w:bookmarkEnd w:id="59"/>
      <w:bookmarkEnd w:id="60"/>
      <w:bookmarkEnd w:id="61"/>
    </w:p>
    <w:p w14:paraId="1051C08D">
      <w:pPr>
        <w:snapToGrid w:val="0"/>
        <w:spacing w:line="440" w:lineRule="exact"/>
        <w:ind w:firstLine="442" w:firstLineChars="200"/>
        <w:jc w:val="left"/>
        <w:outlineLvl w:val="3"/>
        <w:rPr>
          <w:rFonts w:ascii="宋体" w:hAnsi="宋体" w:cs="宋体"/>
          <w:b/>
          <w:color w:val="auto"/>
          <w:sz w:val="22"/>
          <w:szCs w:val="22"/>
          <w:highlight w:val="none"/>
        </w:rPr>
      </w:pPr>
      <w:bookmarkStart w:id="62" w:name="_Toc527495482"/>
      <w:bookmarkStart w:id="63" w:name="_Toc50128400"/>
      <w:bookmarkStart w:id="64" w:name="_Toc1123"/>
      <w:r>
        <w:rPr>
          <w:rFonts w:hint="eastAsia" w:ascii="宋体" w:hAnsi="宋体" w:cs="宋体"/>
          <w:b/>
          <w:color w:val="auto"/>
          <w:sz w:val="22"/>
          <w:szCs w:val="22"/>
          <w:highlight w:val="none"/>
        </w:rPr>
        <w:t>（五）投标保证金</w:t>
      </w:r>
      <w:bookmarkEnd w:id="62"/>
      <w:bookmarkEnd w:id="63"/>
      <w:bookmarkEnd w:id="64"/>
    </w:p>
    <w:p w14:paraId="1C6BBDC5">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★1.投标人须按规定提交投标保证金。否则，其投标将被拒绝。</w:t>
      </w:r>
    </w:p>
    <w:p w14:paraId="638BD806">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2.保证金形式：</w:t>
      </w:r>
      <w:r>
        <w:rPr>
          <w:rFonts w:hint="eastAsia" w:ascii="宋体" w:hAnsi="宋体" w:cs="宋体"/>
          <w:bCs/>
          <w:color w:val="auto"/>
          <w:kern w:val="0"/>
          <w:sz w:val="22"/>
          <w:szCs w:val="22"/>
          <w:highlight w:val="none"/>
        </w:rPr>
        <w:t>银行转账</w:t>
      </w:r>
      <w:r>
        <w:rPr>
          <w:rFonts w:hint="eastAsia" w:ascii="宋体" w:hAnsi="宋体" w:cs="宋体"/>
          <w:color w:val="auto"/>
          <w:sz w:val="22"/>
          <w:szCs w:val="22"/>
          <w:highlight w:val="none"/>
        </w:rPr>
        <w:t>。</w:t>
      </w:r>
    </w:p>
    <w:p w14:paraId="4DEF8A84">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3.中标人的投标保证金应该在合同签订后5个工作日内无息退还；</w:t>
      </w:r>
    </w:p>
    <w:p w14:paraId="0E427F08">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4.未中标人的投标保证金将在中标通知书发送后5个工作日内无息退还。</w:t>
      </w:r>
    </w:p>
    <w:p w14:paraId="3E13320A">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★5.中标人应在中标通知书发出后30日内与招标人签订合同，中标人的投标保证金在与招标人签订合同后5个工作日内一次性无息退还给中标人。</w:t>
      </w:r>
    </w:p>
    <w:p w14:paraId="5A2E8467">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★6.投标人有下列情形之一的，投标保证金将不予退还：</w:t>
      </w:r>
    </w:p>
    <w:p w14:paraId="4BB62737">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（1）投标人在投标有效期内撤回投标文件的；</w:t>
      </w:r>
    </w:p>
    <w:p w14:paraId="4707F289">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（2）未按规定提交履约保证金的；</w:t>
      </w:r>
    </w:p>
    <w:p w14:paraId="416FE9FF">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（3）投标人在投标过程中弄虚作假，提供虚假材料的；</w:t>
      </w:r>
    </w:p>
    <w:p w14:paraId="20E355E0">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（4）中标人无正当理由不与招标人签订合同的；</w:t>
      </w:r>
    </w:p>
    <w:p w14:paraId="093BFFA3">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（5）将中标项目转让给他人或者在投标文件中未说明且未经招标人同意，将中标项目分包给他人的；</w:t>
      </w:r>
    </w:p>
    <w:p w14:paraId="1EA9D8A7">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（6）投标人在投标过程中违反有关法律法规的；</w:t>
      </w:r>
    </w:p>
    <w:p w14:paraId="1A975DFF">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（7）其他严重扰乱招投标程序的。</w:t>
      </w:r>
    </w:p>
    <w:p w14:paraId="608A3C32">
      <w:pPr>
        <w:snapToGrid w:val="0"/>
        <w:spacing w:line="440" w:lineRule="exact"/>
        <w:ind w:firstLine="442" w:firstLineChars="200"/>
        <w:jc w:val="left"/>
        <w:outlineLvl w:val="3"/>
        <w:rPr>
          <w:rFonts w:ascii="宋体" w:hAnsi="宋体" w:cs="宋体"/>
          <w:b/>
          <w:color w:val="auto"/>
          <w:sz w:val="22"/>
          <w:szCs w:val="22"/>
          <w:highlight w:val="none"/>
        </w:rPr>
      </w:pPr>
      <w:bookmarkStart w:id="65" w:name="_Toc2315"/>
      <w:bookmarkStart w:id="66" w:name="_Toc527495483"/>
      <w:bookmarkStart w:id="67" w:name="_Toc50128401"/>
      <w:r>
        <w:rPr>
          <w:rFonts w:hint="eastAsia" w:ascii="宋体" w:hAnsi="宋体" w:cs="宋体"/>
          <w:b/>
          <w:color w:val="auto"/>
          <w:sz w:val="22"/>
          <w:szCs w:val="22"/>
          <w:highlight w:val="none"/>
        </w:rPr>
        <w:t>（六）投标文件的签署</w:t>
      </w:r>
      <w:bookmarkEnd w:id="65"/>
      <w:bookmarkEnd w:id="66"/>
      <w:bookmarkEnd w:id="67"/>
    </w:p>
    <w:p w14:paraId="0AAC6783">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1.投标人应按本招标文件规定的格式和顺序编制、标注页码，投标文件内容不完整、编排混乱导致投标文件被误读、漏读或者查找不到相关内容的，是投标人的责任。</w:t>
      </w:r>
    </w:p>
    <w:p w14:paraId="241832FE">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2.投标文件须由投标人在规定位置盖电子章并由法定代表人或法定代表人的授权委托人盖电子签名章，投标人应写全称。</w:t>
      </w:r>
    </w:p>
    <w:p w14:paraId="6D77290B">
      <w:pPr>
        <w:snapToGrid w:val="0"/>
        <w:spacing w:line="440" w:lineRule="exact"/>
        <w:ind w:firstLine="442" w:firstLineChars="200"/>
        <w:jc w:val="left"/>
        <w:outlineLvl w:val="3"/>
        <w:rPr>
          <w:rFonts w:ascii="宋体" w:hAnsi="宋体" w:cs="宋体"/>
          <w:b/>
          <w:color w:val="auto"/>
          <w:sz w:val="22"/>
          <w:szCs w:val="22"/>
          <w:highlight w:val="none"/>
        </w:rPr>
      </w:pPr>
      <w:r>
        <w:rPr>
          <w:rFonts w:hint="eastAsia" w:ascii="宋体" w:hAnsi="宋体" w:cs="宋体"/>
          <w:b/>
          <w:color w:val="auto"/>
          <w:sz w:val="22"/>
          <w:szCs w:val="22"/>
          <w:highlight w:val="none"/>
        </w:rPr>
        <w:t>（七）投标文件的包装、递交、修改和撤回</w:t>
      </w:r>
    </w:p>
    <w:p w14:paraId="5165546A">
      <w:pPr>
        <w:snapToGrid w:val="0"/>
        <w:spacing w:line="440" w:lineRule="exact"/>
        <w:ind w:firstLine="440" w:firstLineChars="200"/>
        <w:jc w:val="left"/>
        <w:rPr>
          <w:rFonts w:ascii="宋体" w:hAnsi="宋体" w:cs="宋体"/>
          <w:color w:val="auto"/>
          <w:sz w:val="22"/>
          <w:szCs w:val="22"/>
          <w:highlight w:val="none"/>
        </w:rPr>
      </w:pPr>
      <w:bookmarkStart w:id="68" w:name="_Toc50128402"/>
      <w:r>
        <w:rPr>
          <w:rFonts w:hint="eastAsia" w:ascii="宋体" w:hAnsi="宋体" w:cs="宋体"/>
          <w:color w:val="auto"/>
          <w:sz w:val="22"/>
          <w:szCs w:val="22"/>
          <w:highlight w:val="none"/>
        </w:rPr>
        <w:t>1.投标人应在投标截止时间前递交投标文件。</w:t>
      </w:r>
    </w:p>
    <w:p w14:paraId="0B223EEE">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2.投标人通过电子招标采购平台递交电子投标文件。</w:t>
      </w:r>
    </w:p>
    <w:p w14:paraId="05717C5C">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3.电子投标文件的拒收情形（因招标人或系统原因导致的除外）：</w:t>
      </w:r>
    </w:p>
    <w:p w14:paraId="3828CDA7">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（1）投标截止时间后送达（上传）的投标文件、未按招标文件要求上传的；</w:t>
      </w:r>
    </w:p>
    <w:p w14:paraId="66FB624C">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（2）投标人未按规定加密的投标文件，应当拒收并提示；</w:t>
      </w:r>
    </w:p>
    <w:p w14:paraId="04247589">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（3）电子投标文件无法解密的；</w:t>
      </w:r>
    </w:p>
    <w:p w14:paraId="32BED834">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（4）电子投标文件解密后无法正确读取的；</w:t>
      </w:r>
    </w:p>
    <w:p w14:paraId="3ED87FE4">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（5）电子投标文件无法导入成功的。</w:t>
      </w:r>
    </w:p>
    <w:p w14:paraId="742C3312">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4.在投标截止时间前，投标人可以修改或撤回已递交的投标文件，但应以书面形式通知招标人。投标截止时间前未完成投标文件传输的，视为撤回投标文件。</w:t>
      </w:r>
    </w:p>
    <w:p w14:paraId="4D02920B">
      <w:pPr>
        <w:snapToGrid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5.投标人修改或撤回已递交投标文件的通知，应按要求加盖单位公章。电子招标投标交易平台收到通知后，即时向投标人发出确认回执通知。</w:t>
      </w:r>
    </w:p>
    <w:p w14:paraId="7654FC98">
      <w:pPr>
        <w:snapToGrid w:val="0"/>
        <w:spacing w:line="440" w:lineRule="exact"/>
        <w:ind w:firstLine="440" w:firstLineChars="200"/>
        <w:jc w:val="left"/>
        <w:outlineLvl w:val="3"/>
        <w:rPr>
          <w:rFonts w:ascii="宋体" w:hAnsi="宋体" w:cs="宋体"/>
          <w:b/>
          <w:color w:val="auto"/>
          <w:sz w:val="22"/>
          <w:szCs w:val="22"/>
          <w:highlight w:val="none"/>
        </w:rPr>
      </w:pPr>
      <w:r>
        <w:rPr>
          <w:rFonts w:hint="eastAsia" w:ascii="宋体" w:hAnsi="宋体" w:cs="宋体"/>
          <w:color w:val="auto"/>
          <w:sz w:val="22"/>
          <w:szCs w:val="22"/>
          <w:highlight w:val="none"/>
        </w:rPr>
        <w:t>★</w:t>
      </w:r>
      <w:r>
        <w:rPr>
          <w:rFonts w:hint="eastAsia" w:ascii="宋体" w:hAnsi="宋体" w:cs="宋体"/>
          <w:b/>
          <w:color w:val="auto"/>
          <w:sz w:val="22"/>
          <w:szCs w:val="22"/>
          <w:highlight w:val="none"/>
        </w:rPr>
        <w:t>（八）投标无效的情形</w:t>
      </w:r>
      <w:bookmarkEnd w:id="68"/>
    </w:p>
    <w:p w14:paraId="2112358C">
      <w:pPr>
        <w:snapToGrid w:val="0"/>
        <w:spacing w:line="440" w:lineRule="exac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实质上没有响应招标文件要求的投标将被视为无效投标。投标人不得通过修正或撤销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7FF5D22E">
      <w:pPr>
        <w:snapToGrid w:val="0"/>
        <w:spacing w:line="440" w:lineRule="exact"/>
        <w:ind w:firstLine="424" w:firstLineChars="200"/>
        <w:jc w:val="left"/>
        <w:rPr>
          <w:rFonts w:ascii="宋体" w:hAnsi="宋体" w:cs="宋体"/>
          <w:b/>
          <w:bCs/>
          <w:color w:val="auto"/>
          <w:sz w:val="22"/>
          <w:szCs w:val="22"/>
          <w:highlight w:val="none"/>
        </w:rPr>
      </w:pPr>
      <w:r>
        <w:rPr>
          <w:rFonts w:hint="eastAsia" w:ascii="宋体" w:hAnsi="宋体" w:cs="宋体"/>
          <w:color w:val="auto"/>
          <w:spacing w:val="-4"/>
          <w:sz w:val="22"/>
          <w:szCs w:val="22"/>
          <w:highlight w:val="none"/>
        </w:rPr>
        <w:t>★</w:t>
      </w:r>
      <w:r>
        <w:rPr>
          <w:rFonts w:hint="eastAsia" w:ascii="宋体" w:hAnsi="宋体" w:cs="宋体"/>
          <w:b/>
          <w:bCs/>
          <w:color w:val="auto"/>
          <w:sz w:val="22"/>
          <w:szCs w:val="22"/>
          <w:highlight w:val="none"/>
        </w:rPr>
        <w:t>在初步评审时，如发现下列情形之一的，投标文件将被视为无效：</w:t>
      </w:r>
    </w:p>
    <w:p w14:paraId="1342749D">
      <w:pPr>
        <w:snapToGrid w:val="0"/>
        <w:spacing w:line="440" w:lineRule="exac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1.投标人的资格条件不符合招标文件要求的； </w:t>
      </w:r>
    </w:p>
    <w:p w14:paraId="4B0458E8">
      <w:pPr>
        <w:snapToGrid w:val="0"/>
        <w:spacing w:line="440" w:lineRule="exac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2.投标人未提交投标保证金或保证金金额不足，投标保证金不符合招标文件要求的；</w:t>
      </w:r>
    </w:p>
    <w:p w14:paraId="1AC64C49">
      <w:pPr>
        <w:snapToGrid w:val="0"/>
        <w:spacing w:line="440" w:lineRule="exac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3.投标文件未按招标文件要求签字盖章，无法定代表人签字或签字人无法定代表人有效授权书的；</w:t>
      </w:r>
    </w:p>
    <w:p w14:paraId="6DF2A7AD">
      <w:pPr>
        <w:snapToGrid w:val="0"/>
        <w:spacing w:line="440" w:lineRule="exac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4.投标有效期不足的；</w:t>
      </w:r>
    </w:p>
    <w:p w14:paraId="2CB51DCC">
      <w:pPr>
        <w:snapToGrid w:val="0"/>
        <w:spacing w:line="440" w:lineRule="exac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5.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方以低于成本报价竞标，其投标作无效标处理；</w:t>
      </w:r>
    </w:p>
    <w:p w14:paraId="3958A77F">
      <w:pPr>
        <w:snapToGrid w:val="0"/>
        <w:spacing w:line="440" w:lineRule="exac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6.</w:t>
      </w:r>
      <w:r>
        <w:rPr>
          <w:rFonts w:hint="eastAsia" w:ascii="宋体" w:hAnsi="宋体" w:cs="宋体"/>
          <w:color w:val="auto"/>
          <w:spacing w:val="-4"/>
          <w:sz w:val="22"/>
          <w:szCs w:val="22"/>
          <w:highlight w:val="none"/>
        </w:rPr>
        <w:t>投标文件的实质性内容未使用中文表述、意思表述不明确、前后矛盾或者使用计量单位不符合招标文件要求的（经评标委员会认定并允许其当场更正的笔误除外）；</w:t>
      </w:r>
    </w:p>
    <w:p w14:paraId="64B66AE9">
      <w:pPr>
        <w:snapToGrid w:val="0"/>
        <w:spacing w:line="440" w:lineRule="exac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7.</w:t>
      </w:r>
      <w:r>
        <w:rPr>
          <w:rFonts w:hint="eastAsia" w:ascii="宋体" w:hAnsi="宋体" w:cs="宋体"/>
          <w:color w:val="auto"/>
          <w:spacing w:val="-4"/>
          <w:sz w:val="22"/>
          <w:szCs w:val="22"/>
          <w:highlight w:val="none"/>
        </w:rPr>
        <w:t>未实质性响应招标文件要求（与招标文件中标“★”的实质性条款偏离）或者投标文件有招标方不能接受的附加条件的；</w:t>
      </w:r>
    </w:p>
    <w:p w14:paraId="25520132">
      <w:pPr>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8.存在串标、抬标或弄虚作假情况的；</w:t>
      </w:r>
    </w:p>
    <w:p w14:paraId="00C8079C">
      <w:pPr>
        <w:tabs>
          <w:tab w:val="left" w:pos="540"/>
        </w:tabs>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9.法律、法规和招标文件规定的其他无效情形（或出现重大偏差）；</w:t>
      </w:r>
    </w:p>
    <w:p w14:paraId="25D0C30B">
      <w:pPr>
        <w:snapToGrid w:val="0"/>
        <w:spacing w:line="440" w:lineRule="exact"/>
        <w:ind w:firstLine="426" w:firstLineChars="200"/>
        <w:jc w:val="left"/>
        <w:rPr>
          <w:rFonts w:ascii="宋体" w:hAnsi="宋体" w:cs="宋体"/>
          <w:color w:val="auto"/>
          <w:spacing w:val="-4"/>
          <w:sz w:val="22"/>
          <w:szCs w:val="22"/>
          <w:highlight w:val="none"/>
        </w:rPr>
      </w:pPr>
      <w:r>
        <w:rPr>
          <w:rFonts w:hint="eastAsia" w:ascii="宋体" w:hAnsi="宋体" w:cs="宋体"/>
          <w:b/>
          <w:bCs/>
          <w:color w:val="auto"/>
          <w:spacing w:val="-4"/>
          <w:sz w:val="22"/>
          <w:szCs w:val="22"/>
          <w:highlight w:val="none"/>
        </w:rPr>
        <w:t>10.不同投标人的电子投标文件编制时计算机硬件信息网卡MAC地址（如有）、硬盘（含移动存储介质）序列号（optane_000、0100_0000_0000_0000序列号除外）、互联网接入ip地址相同。</w:t>
      </w:r>
    </w:p>
    <w:p w14:paraId="3537B4FF">
      <w:pPr>
        <w:pStyle w:val="22"/>
        <w:outlineLvl w:val="2"/>
        <w:rPr>
          <w:color w:val="auto"/>
          <w:sz w:val="28"/>
          <w:highlight w:val="none"/>
        </w:rPr>
      </w:pPr>
      <w:bookmarkStart w:id="69" w:name="_Toc23174"/>
      <w:bookmarkStart w:id="70" w:name="_Toc50128403"/>
      <w:r>
        <w:rPr>
          <w:rFonts w:hint="eastAsia"/>
          <w:color w:val="auto"/>
          <w:sz w:val="28"/>
          <w:highlight w:val="none"/>
        </w:rPr>
        <w:t>四  重新招标</w:t>
      </w:r>
      <w:bookmarkEnd w:id="69"/>
      <w:bookmarkEnd w:id="70"/>
    </w:p>
    <w:p w14:paraId="71669127">
      <w:pPr>
        <w:pStyle w:val="16"/>
        <w:snapToGrid w:val="0"/>
        <w:spacing w:beforeLines="0" w:afterLines="0" w:line="440" w:lineRule="exact"/>
        <w:ind w:firstLine="440" w:firstLineChars="200"/>
        <w:jc w:val="left"/>
        <w:rPr>
          <w:rFonts w:hAnsi="宋体"/>
          <w:color w:val="auto"/>
          <w:sz w:val="22"/>
          <w:szCs w:val="22"/>
          <w:highlight w:val="none"/>
        </w:rPr>
      </w:pPr>
      <w:bookmarkStart w:id="71" w:name="_Toc10764"/>
      <w:bookmarkStart w:id="72" w:name="_Toc50128404"/>
      <w:r>
        <w:rPr>
          <w:rFonts w:hint="eastAsia" w:hAnsi="宋体"/>
          <w:color w:val="auto"/>
          <w:sz w:val="22"/>
          <w:szCs w:val="22"/>
          <w:highlight w:val="none"/>
        </w:rPr>
        <w:t>1.至投标截止时间止，投标人不足3家的，本项目无法开标，重新组织招标。</w:t>
      </w:r>
    </w:p>
    <w:p w14:paraId="53163626">
      <w:pPr>
        <w:pStyle w:val="16"/>
        <w:snapToGrid w:val="0"/>
        <w:spacing w:beforeLines="0" w:afterLines="0" w:line="440" w:lineRule="exact"/>
        <w:ind w:firstLine="440" w:firstLineChars="200"/>
        <w:jc w:val="left"/>
        <w:rPr>
          <w:rFonts w:hAnsi="宋体"/>
          <w:color w:val="auto"/>
          <w:sz w:val="22"/>
          <w:szCs w:val="22"/>
          <w:highlight w:val="none"/>
        </w:rPr>
      </w:pPr>
      <w:r>
        <w:rPr>
          <w:rFonts w:hint="eastAsia" w:hAnsi="宋体"/>
          <w:color w:val="auto"/>
          <w:sz w:val="22"/>
          <w:szCs w:val="22"/>
          <w:highlight w:val="none"/>
        </w:rPr>
        <w:t>2.开标后经评审，当有效标不足3家时，评标委员会应否决全部投标，重新组织招标。</w:t>
      </w:r>
    </w:p>
    <w:p w14:paraId="5A044B97">
      <w:pPr>
        <w:pStyle w:val="16"/>
        <w:snapToGrid w:val="0"/>
        <w:spacing w:beforeLines="0" w:afterLines="0" w:line="440" w:lineRule="exact"/>
        <w:ind w:firstLine="440" w:firstLineChars="200"/>
        <w:jc w:val="left"/>
        <w:rPr>
          <w:rFonts w:hAnsi="宋体"/>
          <w:color w:val="auto"/>
          <w:sz w:val="22"/>
          <w:szCs w:val="22"/>
          <w:highlight w:val="none"/>
        </w:rPr>
      </w:pPr>
      <w:r>
        <w:rPr>
          <w:rFonts w:hint="eastAsia" w:hAnsi="宋体"/>
          <w:color w:val="auto"/>
          <w:sz w:val="22"/>
          <w:szCs w:val="22"/>
          <w:highlight w:val="none"/>
        </w:rPr>
        <w:t>3.中标候选人均未与招标人签订合同的，重新组织招标。</w:t>
      </w:r>
    </w:p>
    <w:p w14:paraId="77877463">
      <w:pPr>
        <w:pStyle w:val="22"/>
        <w:outlineLvl w:val="2"/>
        <w:rPr>
          <w:color w:val="auto"/>
          <w:sz w:val="28"/>
          <w:highlight w:val="none"/>
        </w:rPr>
      </w:pPr>
      <w:r>
        <w:rPr>
          <w:rFonts w:hint="eastAsia"/>
          <w:color w:val="auto"/>
          <w:sz w:val="28"/>
          <w:highlight w:val="none"/>
        </w:rPr>
        <w:t xml:space="preserve">五 </w:t>
      </w:r>
      <w:r>
        <w:rPr>
          <w:color w:val="auto"/>
          <w:sz w:val="28"/>
          <w:highlight w:val="none"/>
        </w:rPr>
        <w:t xml:space="preserve"> </w:t>
      </w:r>
      <w:r>
        <w:rPr>
          <w:rFonts w:hint="eastAsia"/>
          <w:color w:val="auto"/>
          <w:sz w:val="28"/>
          <w:highlight w:val="none"/>
        </w:rPr>
        <w:t>开  标</w:t>
      </w:r>
      <w:bookmarkEnd w:id="71"/>
      <w:bookmarkEnd w:id="72"/>
    </w:p>
    <w:p w14:paraId="18585A84">
      <w:pPr>
        <w:pStyle w:val="16"/>
        <w:snapToGrid w:val="0"/>
        <w:spacing w:beforeLines="0" w:afterLines="0" w:line="440" w:lineRule="exact"/>
        <w:ind w:firstLine="442" w:firstLineChars="200"/>
        <w:jc w:val="left"/>
        <w:rPr>
          <w:rFonts w:hAnsi="宋体"/>
          <w:b/>
          <w:color w:val="auto"/>
          <w:sz w:val="22"/>
          <w:szCs w:val="22"/>
          <w:highlight w:val="none"/>
        </w:rPr>
      </w:pPr>
      <w:r>
        <w:rPr>
          <w:rFonts w:hAnsi="宋体"/>
          <w:b/>
          <w:color w:val="auto"/>
          <w:sz w:val="22"/>
          <w:szCs w:val="22"/>
          <w:highlight w:val="none"/>
        </w:rPr>
        <w:t>（一）开标准备</w:t>
      </w:r>
    </w:p>
    <w:p w14:paraId="6095CEF8">
      <w:pPr>
        <w:pStyle w:val="16"/>
        <w:snapToGrid w:val="0"/>
        <w:spacing w:beforeLines="0" w:afterLines="0" w:line="440" w:lineRule="exact"/>
        <w:ind w:firstLine="440" w:firstLineChars="200"/>
        <w:jc w:val="left"/>
        <w:rPr>
          <w:rFonts w:hAnsi="宋体"/>
          <w:bCs/>
          <w:color w:val="auto"/>
          <w:sz w:val="22"/>
          <w:szCs w:val="22"/>
          <w:highlight w:val="none"/>
        </w:rPr>
      </w:pPr>
      <w:r>
        <w:rPr>
          <w:rFonts w:hint="eastAsia" w:hAnsi="宋体" w:cs="宋体"/>
          <w:color w:val="auto"/>
          <w:sz w:val="22"/>
          <w:szCs w:val="22"/>
          <w:highlight w:val="none"/>
        </w:rPr>
        <w:t>招标人将在规定的时间和地点进行开标，投标人的法定代表人或其授权代表应在投标截止时间之后三十分钟内在“浙江海港投标管家”工具端—进入项目—开标—远程开标模块，进行开标结果确定，如超时未确认，视作投标人已对开标结果确认无误。</w:t>
      </w:r>
    </w:p>
    <w:p w14:paraId="5D53C68E">
      <w:pPr>
        <w:pStyle w:val="16"/>
        <w:snapToGrid w:val="0"/>
        <w:spacing w:beforeLines="0" w:afterLines="0" w:line="440" w:lineRule="exact"/>
        <w:ind w:firstLine="442" w:firstLineChars="200"/>
        <w:jc w:val="left"/>
        <w:rPr>
          <w:rFonts w:hAnsi="宋体"/>
          <w:b/>
          <w:color w:val="auto"/>
          <w:sz w:val="22"/>
          <w:szCs w:val="22"/>
          <w:highlight w:val="none"/>
        </w:rPr>
      </w:pPr>
      <w:r>
        <w:rPr>
          <w:rFonts w:hAnsi="宋体"/>
          <w:b/>
          <w:color w:val="auto"/>
          <w:sz w:val="22"/>
          <w:szCs w:val="22"/>
          <w:highlight w:val="none"/>
        </w:rPr>
        <w:t>（二）开标程序：</w:t>
      </w:r>
    </w:p>
    <w:p w14:paraId="7BBAB474">
      <w:pPr>
        <w:pStyle w:val="16"/>
        <w:snapToGrid w:val="0"/>
        <w:spacing w:beforeLines="0" w:afterLines="0" w:line="440" w:lineRule="exact"/>
        <w:ind w:firstLine="440" w:firstLineChars="200"/>
        <w:jc w:val="left"/>
        <w:rPr>
          <w:rFonts w:hAnsi="宋体"/>
          <w:color w:val="auto"/>
          <w:sz w:val="22"/>
          <w:szCs w:val="22"/>
          <w:highlight w:val="none"/>
        </w:rPr>
      </w:pPr>
      <w:r>
        <w:rPr>
          <w:rFonts w:hint="eastAsia" w:hAnsi="宋体"/>
          <w:color w:val="auto"/>
          <w:sz w:val="22"/>
          <w:szCs w:val="22"/>
          <w:highlight w:val="none"/>
        </w:rPr>
        <w:t>1.开标会由招标人或代理机构主持，主持人宣布开标会议开始。</w:t>
      </w:r>
    </w:p>
    <w:p w14:paraId="1805B0DF">
      <w:pPr>
        <w:pStyle w:val="16"/>
        <w:snapToGrid w:val="0"/>
        <w:spacing w:beforeLines="0" w:afterLines="0" w:line="440" w:lineRule="exact"/>
        <w:ind w:firstLine="440" w:firstLineChars="200"/>
        <w:jc w:val="left"/>
        <w:rPr>
          <w:rFonts w:hAnsi="宋体"/>
          <w:color w:val="auto"/>
          <w:sz w:val="22"/>
          <w:szCs w:val="22"/>
          <w:highlight w:val="none"/>
        </w:rPr>
      </w:pPr>
      <w:r>
        <w:rPr>
          <w:rFonts w:hint="eastAsia" w:hAnsi="宋体"/>
          <w:color w:val="auto"/>
          <w:sz w:val="22"/>
          <w:szCs w:val="22"/>
          <w:highlight w:val="none"/>
        </w:rPr>
        <w:t xml:space="preserve">2.主持人介绍参加开标会的人员名单。 </w:t>
      </w:r>
    </w:p>
    <w:p w14:paraId="56583E17">
      <w:pPr>
        <w:pStyle w:val="16"/>
        <w:snapToGrid w:val="0"/>
        <w:spacing w:beforeLines="0" w:afterLines="0" w:line="440" w:lineRule="exact"/>
        <w:ind w:firstLine="440" w:firstLineChars="200"/>
        <w:jc w:val="left"/>
        <w:rPr>
          <w:rFonts w:hAnsi="宋体"/>
          <w:color w:val="auto"/>
          <w:sz w:val="22"/>
          <w:szCs w:val="22"/>
          <w:highlight w:val="none"/>
        </w:rPr>
      </w:pPr>
      <w:r>
        <w:rPr>
          <w:rFonts w:hint="eastAsia" w:hAnsi="宋体"/>
          <w:color w:val="auto"/>
          <w:sz w:val="22"/>
          <w:szCs w:val="22"/>
          <w:highlight w:val="none"/>
        </w:rPr>
        <w:t>3.主持人发起投标文件解密。</w:t>
      </w:r>
    </w:p>
    <w:p w14:paraId="26F665BA">
      <w:pPr>
        <w:pStyle w:val="16"/>
        <w:snapToGrid w:val="0"/>
        <w:spacing w:beforeLines="0" w:afterLines="0" w:line="440" w:lineRule="exact"/>
        <w:ind w:firstLine="440" w:firstLineChars="200"/>
        <w:jc w:val="left"/>
        <w:rPr>
          <w:rFonts w:hAnsi="宋体"/>
          <w:color w:val="auto"/>
          <w:sz w:val="22"/>
          <w:szCs w:val="22"/>
          <w:highlight w:val="none"/>
        </w:rPr>
      </w:pPr>
      <w:r>
        <w:rPr>
          <w:rFonts w:hint="eastAsia" w:hAnsi="宋体"/>
          <w:color w:val="auto"/>
          <w:sz w:val="22"/>
          <w:szCs w:val="22"/>
          <w:highlight w:val="none"/>
        </w:rPr>
        <w:t>4.所有投标解密后开启电子投标文件。</w:t>
      </w:r>
    </w:p>
    <w:p w14:paraId="2A7CCED3">
      <w:pPr>
        <w:pStyle w:val="16"/>
        <w:snapToGrid w:val="0"/>
        <w:spacing w:beforeLines="0" w:afterLines="0" w:line="440" w:lineRule="exact"/>
        <w:ind w:firstLine="440" w:firstLineChars="200"/>
        <w:jc w:val="left"/>
        <w:rPr>
          <w:rFonts w:hAnsi="宋体"/>
          <w:color w:val="auto"/>
          <w:sz w:val="22"/>
          <w:szCs w:val="22"/>
          <w:highlight w:val="none"/>
        </w:rPr>
      </w:pPr>
      <w:r>
        <w:rPr>
          <w:rFonts w:hint="eastAsia" w:hAnsi="宋体"/>
          <w:color w:val="auto"/>
          <w:sz w:val="22"/>
          <w:szCs w:val="22"/>
          <w:highlight w:val="none"/>
        </w:rPr>
        <w:t>5.开启电子投标文件后公布开标结果。</w:t>
      </w:r>
    </w:p>
    <w:p w14:paraId="13296F6A">
      <w:pPr>
        <w:pStyle w:val="16"/>
        <w:snapToGrid w:val="0"/>
        <w:spacing w:beforeLines="0" w:afterLines="0" w:line="440" w:lineRule="exact"/>
        <w:ind w:firstLine="440" w:firstLineChars="200"/>
        <w:jc w:val="left"/>
        <w:rPr>
          <w:rFonts w:hAnsi="宋体"/>
          <w:color w:val="auto"/>
          <w:sz w:val="22"/>
          <w:szCs w:val="22"/>
          <w:highlight w:val="none"/>
        </w:rPr>
      </w:pPr>
      <w:r>
        <w:rPr>
          <w:rFonts w:hint="eastAsia" w:hAnsi="宋体"/>
          <w:color w:val="auto"/>
          <w:sz w:val="22"/>
          <w:szCs w:val="22"/>
          <w:highlight w:val="none"/>
        </w:rPr>
        <w:t>6.开标会议结束。</w:t>
      </w:r>
    </w:p>
    <w:p w14:paraId="73E6B871">
      <w:pPr>
        <w:pStyle w:val="16"/>
        <w:snapToGrid w:val="0"/>
        <w:spacing w:before="156" w:after="156" w:line="360" w:lineRule="auto"/>
        <w:ind w:firstLine="562" w:firstLineChars="200"/>
        <w:jc w:val="center"/>
        <w:outlineLvl w:val="2"/>
        <w:rPr>
          <w:rFonts w:ascii="Cambria" w:hAnsi="Cambria"/>
          <w:b/>
          <w:bCs/>
          <w:color w:val="auto"/>
          <w:kern w:val="28"/>
          <w:sz w:val="28"/>
          <w:szCs w:val="32"/>
          <w:highlight w:val="none"/>
        </w:rPr>
      </w:pPr>
      <w:bookmarkStart w:id="73" w:name="_Toc16173"/>
      <w:r>
        <w:rPr>
          <w:rFonts w:hint="eastAsia" w:ascii="Cambria" w:hAnsi="Cambria"/>
          <w:b/>
          <w:bCs/>
          <w:color w:val="auto"/>
          <w:kern w:val="28"/>
          <w:sz w:val="28"/>
          <w:szCs w:val="32"/>
          <w:highlight w:val="none"/>
        </w:rPr>
        <w:t>六  评  标</w:t>
      </w:r>
      <w:bookmarkEnd w:id="73"/>
    </w:p>
    <w:p w14:paraId="0F47871C">
      <w:pPr>
        <w:pStyle w:val="16"/>
        <w:snapToGrid w:val="0"/>
        <w:spacing w:beforeLines="0" w:afterLines="0" w:line="440" w:lineRule="exact"/>
        <w:ind w:firstLine="442" w:firstLineChars="200"/>
        <w:jc w:val="left"/>
        <w:rPr>
          <w:rFonts w:hAnsi="宋体"/>
          <w:b/>
          <w:color w:val="auto"/>
          <w:sz w:val="22"/>
          <w:szCs w:val="22"/>
          <w:highlight w:val="none"/>
        </w:rPr>
      </w:pPr>
      <w:r>
        <w:rPr>
          <w:rFonts w:hAnsi="宋体"/>
          <w:b/>
          <w:color w:val="auto"/>
          <w:sz w:val="22"/>
          <w:szCs w:val="22"/>
          <w:highlight w:val="none"/>
        </w:rPr>
        <w:t>（一）组建评标委员会</w:t>
      </w:r>
    </w:p>
    <w:p w14:paraId="00CC649D">
      <w:pPr>
        <w:pStyle w:val="16"/>
        <w:snapToGrid w:val="0"/>
        <w:spacing w:beforeLines="0" w:afterLines="0" w:line="440" w:lineRule="exact"/>
        <w:ind w:firstLine="440" w:firstLineChars="200"/>
        <w:jc w:val="left"/>
        <w:rPr>
          <w:rFonts w:hAnsi="宋体"/>
          <w:color w:val="auto"/>
          <w:sz w:val="22"/>
          <w:szCs w:val="22"/>
          <w:highlight w:val="none"/>
        </w:rPr>
      </w:pPr>
      <w:r>
        <w:rPr>
          <w:rFonts w:hAnsi="宋体"/>
          <w:color w:val="auto"/>
          <w:sz w:val="22"/>
          <w:szCs w:val="22"/>
          <w:highlight w:val="none"/>
        </w:rPr>
        <w:t>本项目评标委员会由评审专家</w:t>
      </w:r>
      <w:r>
        <w:rPr>
          <w:rFonts w:hint="eastAsia" w:hAnsi="宋体"/>
          <w:color w:val="auto"/>
          <w:sz w:val="22"/>
          <w:szCs w:val="22"/>
          <w:highlight w:val="none"/>
        </w:rPr>
        <w:t>和招标人代表共5人</w:t>
      </w:r>
      <w:r>
        <w:rPr>
          <w:rFonts w:hAnsi="宋体"/>
          <w:color w:val="auto"/>
          <w:sz w:val="22"/>
          <w:szCs w:val="22"/>
          <w:highlight w:val="none"/>
        </w:rPr>
        <w:t>组成。</w:t>
      </w:r>
    </w:p>
    <w:p w14:paraId="7219A7B6">
      <w:pPr>
        <w:pStyle w:val="16"/>
        <w:snapToGrid w:val="0"/>
        <w:spacing w:beforeLines="0" w:afterLines="0" w:line="440" w:lineRule="exact"/>
        <w:ind w:firstLine="442" w:firstLineChars="200"/>
        <w:jc w:val="left"/>
        <w:rPr>
          <w:rFonts w:hAnsi="宋体"/>
          <w:b/>
          <w:color w:val="auto"/>
          <w:sz w:val="22"/>
          <w:szCs w:val="22"/>
          <w:highlight w:val="none"/>
        </w:rPr>
      </w:pPr>
      <w:r>
        <w:rPr>
          <w:rFonts w:hAnsi="宋体"/>
          <w:b/>
          <w:color w:val="auto"/>
          <w:sz w:val="22"/>
          <w:szCs w:val="22"/>
          <w:highlight w:val="none"/>
        </w:rPr>
        <w:t>（二）评标的方式</w:t>
      </w:r>
    </w:p>
    <w:p w14:paraId="4B10B87D">
      <w:pPr>
        <w:pStyle w:val="16"/>
        <w:snapToGrid w:val="0"/>
        <w:spacing w:beforeLines="0" w:afterLines="0" w:line="440" w:lineRule="exact"/>
        <w:ind w:firstLine="440" w:firstLineChars="200"/>
        <w:jc w:val="left"/>
        <w:rPr>
          <w:rFonts w:hAnsi="宋体"/>
          <w:color w:val="auto"/>
          <w:sz w:val="22"/>
          <w:szCs w:val="22"/>
          <w:highlight w:val="none"/>
        </w:rPr>
      </w:pPr>
      <w:r>
        <w:rPr>
          <w:rFonts w:hAnsi="宋体"/>
          <w:color w:val="auto"/>
          <w:sz w:val="22"/>
          <w:szCs w:val="22"/>
          <w:highlight w:val="none"/>
        </w:rPr>
        <w:t>本项目采用不公开方式评标，评标的依据为招标文件和投标文件。</w:t>
      </w:r>
    </w:p>
    <w:p w14:paraId="4E5D7F5D">
      <w:pPr>
        <w:pStyle w:val="16"/>
        <w:snapToGrid w:val="0"/>
        <w:spacing w:beforeLines="0" w:afterLines="0" w:line="440" w:lineRule="exact"/>
        <w:ind w:firstLine="442" w:firstLineChars="200"/>
        <w:jc w:val="left"/>
        <w:rPr>
          <w:rFonts w:hAnsi="宋体"/>
          <w:b/>
          <w:color w:val="auto"/>
          <w:sz w:val="22"/>
          <w:szCs w:val="22"/>
          <w:highlight w:val="none"/>
        </w:rPr>
      </w:pPr>
      <w:r>
        <w:rPr>
          <w:rFonts w:hAnsi="宋体"/>
          <w:b/>
          <w:color w:val="auto"/>
          <w:sz w:val="22"/>
          <w:szCs w:val="22"/>
          <w:highlight w:val="none"/>
        </w:rPr>
        <w:t>（三）</w:t>
      </w:r>
      <w:r>
        <w:rPr>
          <w:rFonts w:hAnsi="宋体"/>
          <w:b/>
          <w:bCs/>
          <w:color w:val="auto"/>
          <w:sz w:val="22"/>
          <w:szCs w:val="22"/>
          <w:highlight w:val="none"/>
        </w:rPr>
        <w:t>评标程序</w:t>
      </w:r>
    </w:p>
    <w:p w14:paraId="4986B0F0">
      <w:pPr>
        <w:snapToGrid w:val="0"/>
        <w:spacing w:line="440" w:lineRule="exact"/>
        <w:ind w:firstLine="442" w:firstLineChars="200"/>
        <w:jc w:val="left"/>
        <w:rPr>
          <w:rFonts w:ascii="宋体" w:hAnsi="宋体"/>
          <w:b/>
          <w:bCs/>
          <w:color w:val="auto"/>
          <w:sz w:val="22"/>
          <w:szCs w:val="22"/>
          <w:highlight w:val="none"/>
        </w:rPr>
      </w:pPr>
      <w:r>
        <w:rPr>
          <w:rFonts w:ascii="宋体" w:hAnsi="宋体"/>
          <w:b/>
          <w:bCs/>
          <w:color w:val="auto"/>
          <w:sz w:val="22"/>
          <w:szCs w:val="22"/>
          <w:highlight w:val="none"/>
        </w:rPr>
        <w:t>1</w:t>
      </w:r>
      <w:r>
        <w:rPr>
          <w:rFonts w:hint="eastAsia" w:ascii="宋体" w:hAnsi="宋体"/>
          <w:b/>
          <w:bCs/>
          <w:color w:val="auto"/>
          <w:sz w:val="22"/>
          <w:szCs w:val="22"/>
          <w:highlight w:val="none"/>
        </w:rPr>
        <w:t>.</w:t>
      </w:r>
      <w:r>
        <w:rPr>
          <w:rFonts w:ascii="宋体" w:hAnsi="宋体"/>
          <w:b/>
          <w:bCs/>
          <w:color w:val="auto"/>
          <w:sz w:val="22"/>
          <w:szCs w:val="22"/>
          <w:highlight w:val="none"/>
        </w:rPr>
        <w:t>形式审查</w:t>
      </w:r>
    </w:p>
    <w:p w14:paraId="0B6F220B">
      <w:pPr>
        <w:snapToGrid w:val="0"/>
        <w:spacing w:line="440" w:lineRule="exact"/>
        <w:ind w:firstLine="440" w:firstLineChars="200"/>
        <w:jc w:val="left"/>
        <w:rPr>
          <w:rFonts w:ascii="宋体" w:hAnsi="宋体"/>
          <w:b/>
          <w:color w:val="auto"/>
          <w:sz w:val="22"/>
          <w:szCs w:val="22"/>
          <w:highlight w:val="none"/>
        </w:rPr>
      </w:pPr>
      <w:r>
        <w:rPr>
          <w:rFonts w:hint="eastAsia" w:ascii="宋体" w:hAnsi="宋体"/>
          <w:color w:val="auto"/>
          <w:sz w:val="22"/>
          <w:szCs w:val="22"/>
          <w:highlight w:val="none"/>
        </w:rPr>
        <w:t>招标人的工作人员协助评标委员会对投标人的资格</w:t>
      </w:r>
      <w:r>
        <w:rPr>
          <w:rFonts w:ascii="宋体" w:hAnsi="宋体"/>
          <w:color w:val="auto"/>
          <w:sz w:val="22"/>
          <w:szCs w:val="22"/>
          <w:highlight w:val="none"/>
        </w:rPr>
        <w:t>和投标文件的完整性、合法性等进行审查。</w:t>
      </w:r>
    </w:p>
    <w:p w14:paraId="3BCC70A6">
      <w:pPr>
        <w:snapToGrid w:val="0"/>
        <w:spacing w:line="440" w:lineRule="exact"/>
        <w:ind w:firstLine="442" w:firstLineChars="200"/>
        <w:jc w:val="left"/>
        <w:rPr>
          <w:rFonts w:ascii="宋体" w:hAnsi="宋体"/>
          <w:b/>
          <w:bCs/>
          <w:color w:val="auto"/>
          <w:sz w:val="22"/>
          <w:szCs w:val="22"/>
          <w:highlight w:val="none"/>
        </w:rPr>
      </w:pPr>
      <w:r>
        <w:rPr>
          <w:rFonts w:ascii="宋体" w:hAnsi="宋体"/>
          <w:b/>
          <w:bCs/>
          <w:color w:val="auto"/>
          <w:sz w:val="22"/>
          <w:szCs w:val="22"/>
          <w:highlight w:val="none"/>
        </w:rPr>
        <w:t>2</w:t>
      </w:r>
      <w:r>
        <w:rPr>
          <w:rFonts w:hint="eastAsia" w:ascii="宋体" w:hAnsi="宋体"/>
          <w:b/>
          <w:bCs/>
          <w:color w:val="auto"/>
          <w:sz w:val="22"/>
          <w:szCs w:val="22"/>
          <w:highlight w:val="none"/>
        </w:rPr>
        <w:t>.</w:t>
      </w:r>
      <w:r>
        <w:rPr>
          <w:rFonts w:ascii="宋体" w:hAnsi="宋体"/>
          <w:b/>
          <w:bCs/>
          <w:color w:val="auto"/>
          <w:sz w:val="22"/>
          <w:szCs w:val="22"/>
          <w:highlight w:val="none"/>
        </w:rPr>
        <w:t>实质审查与比较</w:t>
      </w:r>
    </w:p>
    <w:p w14:paraId="5D10C7A2">
      <w:pPr>
        <w:snapToGrid w:val="0"/>
        <w:spacing w:line="44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1）评标委员会审查投标文件的实质性内容是否符合招标文件的实质性要求。</w:t>
      </w:r>
    </w:p>
    <w:p w14:paraId="733DDDBF">
      <w:pPr>
        <w:snapToGrid w:val="0"/>
        <w:spacing w:line="44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2）评标委员会将根据投标人的投标文件进行审查、核对,如有疑问,将对投标人进行询标,投标人要向评标委员会澄清有关问题,并最终以书面形式进行答复。</w:t>
      </w:r>
    </w:p>
    <w:p w14:paraId="429D534A">
      <w:pPr>
        <w:snapToGrid w:val="0"/>
        <w:spacing w:line="44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（3</w:t>
      </w:r>
      <w:r>
        <w:rPr>
          <w:rFonts w:ascii="宋体" w:hAnsi="宋体"/>
          <w:color w:val="auto"/>
          <w:sz w:val="22"/>
          <w:szCs w:val="22"/>
          <w:highlight w:val="none"/>
        </w:rPr>
        <w:t>）</w:t>
      </w:r>
      <w:r>
        <w:rPr>
          <w:rFonts w:hint="eastAsia" w:ascii="宋体" w:hAnsi="宋体"/>
          <w:color w:val="auto"/>
          <w:sz w:val="22"/>
          <w:szCs w:val="22"/>
          <w:highlight w:val="none"/>
        </w:rPr>
        <w:t>投标人代表未到场或者拒绝澄清或者澄清的内容改变了投标文件的实质性内容的，评标委员会有权对该投标文件作出不利于投标人的评判。</w:t>
      </w:r>
    </w:p>
    <w:p w14:paraId="5DFD79A1">
      <w:pPr>
        <w:snapToGrid w:val="0"/>
        <w:spacing w:line="44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（4</w:t>
      </w:r>
      <w:r>
        <w:rPr>
          <w:rFonts w:ascii="宋体" w:hAnsi="宋体"/>
          <w:color w:val="auto"/>
          <w:sz w:val="22"/>
          <w:szCs w:val="22"/>
          <w:highlight w:val="none"/>
        </w:rPr>
        <w:t>）各投标人的技术</w:t>
      </w:r>
      <w:r>
        <w:rPr>
          <w:rFonts w:hint="eastAsia" w:ascii="宋体" w:hAnsi="宋体"/>
          <w:color w:val="auto"/>
          <w:sz w:val="22"/>
          <w:szCs w:val="22"/>
          <w:highlight w:val="none"/>
        </w:rPr>
        <w:t>资信</w:t>
      </w:r>
      <w:r>
        <w:rPr>
          <w:rFonts w:ascii="宋体" w:hAnsi="宋体"/>
          <w:color w:val="auto"/>
          <w:sz w:val="22"/>
          <w:szCs w:val="22"/>
          <w:highlight w:val="none"/>
        </w:rPr>
        <w:t>得分为所有评委的有效评分的算术平均数</w:t>
      </w:r>
      <w:r>
        <w:rPr>
          <w:rFonts w:hint="eastAsia" w:ascii="宋体" w:hAnsi="宋体"/>
          <w:color w:val="auto"/>
          <w:sz w:val="22"/>
          <w:szCs w:val="22"/>
          <w:highlight w:val="none"/>
        </w:rPr>
        <w:t>(计算保留两位小数)</w:t>
      </w:r>
      <w:r>
        <w:rPr>
          <w:rFonts w:ascii="宋体" w:hAnsi="宋体"/>
          <w:color w:val="auto"/>
          <w:sz w:val="22"/>
          <w:szCs w:val="22"/>
          <w:highlight w:val="none"/>
        </w:rPr>
        <w:t>。</w:t>
      </w:r>
    </w:p>
    <w:p w14:paraId="13EF197E">
      <w:pPr>
        <w:snapToGrid w:val="0"/>
        <w:spacing w:line="44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（5</w:t>
      </w:r>
      <w:r>
        <w:rPr>
          <w:rFonts w:ascii="宋体" w:hAnsi="宋体"/>
          <w:color w:val="auto"/>
          <w:sz w:val="22"/>
          <w:szCs w:val="22"/>
          <w:highlight w:val="none"/>
        </w:rPr>
        <w:t>）评标委员会根据</w:t>
      </w:r>
      <w:r>
        <w:rPr>
          <w:rFonts w:hint="eastAsia" w:ascii="宋体" w:hAnsi="宋体"/>
          <w:color w:val="auto"/>
          <w:sz w:val="22"/>
          <w:szCs w:val="22"/>
          <w:highlight w:val="none"/>
        </w:rPr>
        <w:t>本项目的评分标准</w:t>
      </w:r>
      <w:r>
        <w:rPr>
          <w:rFonts w:ascii="宋体" w:hAnsi="宋体"/>
          <w:color w:val="auto"/>
          <w:sz w:val="22"/>
          <w:szCs w:val="22"/>
          <w:highlight w:val="none"/>
        </w:rPr>
        <w:t>计算各投标人的报价得分</w:t>
      </w:r>
      <w:r>
        <w:rPr>
          <w:rFonts w:hint="eastAsia" w:ascii="宋体" w:hAnsi="宋体"/>
          <w:color w:val="auto"/>
          <w:sz w:val="22"/>
          <w:szCs w:val="22"/>
          <w:highlight w:val="none"/>
        </w:rPr>
        <w:t>。</w:t>
      </w:r>
    </w:p>
    <w:p w14:paraId="292C3DE2">
      <w:pPr>
        <w:snapToGrid w:val="0"/>
        <w:spacing w:line="44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（6</w:t>
      </w:r>
      <w:r>
        <w:rPr>
          <w:rFonts w:ascii="宋体" w:hAnsi="宋体"/>
          <w:color w:val="auto"/>
          <w:sz w:val="22"/>
          <w:szCs w:val="22"/>
          <w:highlight w:val="none"/>
        </w:rPr>
        <w:t>）评标委员会完成评标后,评委对各部分得分汇总,</w:t>
      </w:r>
      <w:r>
        <w:rPr>
          <w:rFonts w:hint="eastAsia" w:ascii="宋体" w:hAnsi="宋体"/>
          <w:color w:val="auto"/>
          <w:sz w:val="22"/>
          <w:szCs w:val="22"/>
          <w:highlight w:val="none"/>
        </w:rPr>
        <w:t>计算</w:t>
      </w:r>
      <w:r>
        <w:rPr>
          <w:rFonts w:ascii="宋体" w:hAnsi="宋体"/>
          <w:color w:val="auto"/>
          <w:sz w:val="22"/>
          <w:szCs w:val="22"/>
          <w:highlight w:val="none"/>
        </w:rPr>
        <w:t>出本项目</w:t>
      </w:r>
      <w:r>
        <w:rPr>
          <w:rFonts w:hint="eastAsia" w:ascii="宋体" w:hAnsi="宋体"/>
          <w:color w:val="auto"/>
          <w:sz w:val="22"/>
          <w:szCs w:val="22"/>
          <w:highlight w:val="none"/>
        </w:rPr>
        <w:t>最终得分</w:t>
      </w:r>
      <w:r>
        <w:rPr>
          <w:rFonts w:ascii="宋体" w:hAnsi="宋体"/>
          <w:color w:val="auto"/>
          <w:sz w:val="22"/>
          <w:szCs w:val="22"/>
          <w:highlight w:val="none"/>
        </w:rPr>
        <w:t>。评标委员会按评标原则推荐中标候选人同时起草评标报告。</w:t>
      </w:r>
    </w:p>
    <w:p w14:paraId="0D988E01">
      <w:pPr>
        <w:snapToGrid w:val="0"/>
        <w:spacing w:line="440" w:lineRule="exact"/>
        <w:ind w:firstLine="442" w:firstLineChars="200"/>
        <w:jc w:val="left"/>
        <w:rPr>
          <w:rFonts w:ascii="宋体" w:hAnsi="宋体"/>
          <w:b/>
          <w:bCs/>
          <w:color w:val="auto"/>
          <w:sz w:val="22"/>
          <w:szCs w:val="22"/>
          <w:highlight w:val="none"/>
        </w:rPr>
      </w:pPr>
      <w:r>
        <w:rPr>
          <w:rFonts w:hint="eastAsia" w:ascii="宋体" w:hAnsi="宋体"/>
          <w:b/>
          <w:bCs/>
          <w:color w:val="auto"/>
          <w:sz w:val="22"/>
          <w:szCs w:val="22"/>
          <w:highlight w:val="none"/>
        </w:rPr>
        <w:t>（四）澄清问题的形式</w:t>
      </w:r>
    </w:p>
    <w:p w14:paraId="253CACC5">
      <w:pPr>
        <w:snapToGrid w:val="0"/>
        <w:spacing w:line="44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3F3F642C">
      <w:pPr>
        <w:pStyle w:val="16"/>
        <w:snapToGrid w:val="0"/>
        <w:spacing w:beforeLines="0" w:afterLines="0" w:line="440" w:lineRule="exact"/>
        <w:ind w:firstLine="442" w:firstLineChars="200"/>
        <w:jc w:val="left"/>
        <w:rPr>
          <w:rFonts w:hAnsi="宋体"/>
          <w:b/>
          <w:bCs/>
          <w:color w:val="auto"/>
          <w:sz w:val="22"/>
          <w:szCs w:val="22"/>
          <w:highlight w:val="none"/>
        </w:rPr>
      </w:pPr>
      <w:r>
        <w:rPr>
          <w:rFonts w:hAnsi="宋体"/>
          <w:b/>
          <w:bCs/>
          <w:color w:val="auto"/>
          <w:sz w:val="22"/>
          <w:szCs w:val="22"/>
          <w:highlight w:val="none"/>
        </w:rPr>
        <w:t>（五）错误修正</w:t>
      </w:r>
    </w:p>
    <w:p w14:paraId="2F9315CD">
      <w:pPr>
        <w:pStyle w:val="16"/>
        <w:snapToGrid w:val="0"/>
        <w:spacing w:beforeLines="0" w:afterLines="0" w:line="440" w:lineRule="exact"/>
        <w:ind w:firstLine="440" w:firstLineChars="200"/>
        <w:jc w:val="left"/>
        <w:rPr>
          <w:rFonts w:hAnsi="宋体"/>
          <w:color w:val="auto"/>
          <w:sz w:val="22"/>
          <w:szCs w:val="22"/>
          <w:highlight w:val="none"/>
        </w:rPr>
      </w:pPr>
      <w:r>
        <w:rPr>
          <w:rFonts w:hAnsi="宋体"/>
          <w:color w:val="auto"/>
          <w:sz w:val="22"/>
          <w:szCs w:val="22"/>
          <w:highlight w:val="none"/>
        </w:rPr>
        <w:t>投标文件如果出现计算或表达上的错误，修正错误的原则如下：</w:t>
      </w:r>
    </w:p>
    <w:p w14:paraId="253B5809">
      <w:pPr>
        <w:pStyle w:val="16"/>
        <w:snapToGrid w:val="0"/>
        <w:spacing w:beforeLines="0" w:afterLines="0" w:line="440" w:lineRule="exact"/>
        <w:ind w:firstLine="440" w:firstLineChars="200"/>
        <w:jc w:val="left"/>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w:t>
      </w:r>
      <w:r>
        <w:rPr>
          <w:rFonts w:hAnsi="宋体"/>
          <w:color w:val="auto"/>
          <w:sz w:val="22"/>
          <w:szCs w:val="22"/>
          <w:highlight w:val="none"/>
        </w:rPr>
        <w:t>投标文件的大写金额和小写金额不一致的，以大写金额为准；</w:t>
      </w:r>
    </w:p>
    <w:p w14:paraId="3A23CE3C">
      <w:pPr>
        <w:pStyle w:val="16"/>
        <w:snapToGrid w:val="0"/>
        <w:spacing w:beforeLines="0" w:afterLines="0" w:line="440" w:lineRule="exact"/>
        <w:ind w:firstLine="440" w:firstLineChars="200"/>
        <w:jc w:val="left"/>
        <w:rPr>
          <w:rFonts w:hAnsi="宋体"/>
          <w:color w:val="auto"/>
          <w:sz w:val="22"/>
          <w:szCs w:val="22"/>
          <w:highlight w:val="none"/>
        </w:rPr>
      </w:pPr>
      <w:r>
        <w:rPr>
          <w:rFonts w:hint="eastAsia" w:hAnsi="宋体"/>
          <w:color w:val="auto"/>
          <w:sz w:val="22"/>
          <w:szCs w:val="22"/>
          <w:highlight w:val="none"/>
        </w:rPr>
        <w:t>2.</w:t>
      </w:r>
      <w:r>
        <w:rPr>
          <w:rFonts w:hAnsi="宋体"/>
          <w:color w:val="auto"/>
          <w:sz w:val="22"/>
          <w:szCs w:val="22"/>
          <w:highlight w:val="none"/>
        </w:rPr>
        <w:t>总价金额与按单价汇总金额不一致的，以单价金额计算结果为准；</w:t>
      </w:r>
    </w:p>
    <w:p w14:paraId="7660AEAC">
      <w:pPr>
        <w:pStyle w:val="16"/>
        <w:snapToGrid w:val="0"/>
        <w:spacing w:beforeLines="0" w:afterLines="0" w:line="440" w:lineRule="exact"/>
        <w:ind w:firstLine="440" w:firstLineChars="200"/>
        <w:jc w:val="left"/>
        <w:rPr>
          <w:rFonts w:hAnsi="宋体"/>
          <w:color w:val="auto"/>
          <w:sz w:val="22"/>
          <w:szCs w:val="22"/>
          <w:highlight w:val="none"/>
        </w:rPr>
      </w:pPr>
      <w:r>
        <w:rPr>
          <w:rFonts w:hint="eastAsia" w:hAnsi="宋体"/>
          <w:color w:val="auto"/>
          <w:sz w:val="22"/>
          <w:szCs w:val="22"/>
          <w:highlight w:val="none"/>
        </w:rPr>
        <w:t>3.</w:t>
      </w:r>
      <w:r>
        <w:rPr>
          <w:rFonts w:hAnsi="宋体"/>
          <w:color w:val="auto"/>
          <w:sz w:val="22"/>
          <w:szCs w:val="22"/>
          <w:highlight w:val="none"/>
        </w:rPr>
        <w:t>对不同文字文本投标文件的解释发生异议的，以中文文本为准。</w:t>
      </w:r>
    </w:p>
    <w:p w14:paraId="5891E2B6">
      <w:pPr>
        <w:pStyle w:val="16"/>
        <w:snapToGrid w:val="0"/>
        <w:spacing w:beforeLines="0" w:afterLines="0" w:line="440" w:lineRule="exact"/>
        <w:ind w:firstLine="442" w:firstLineChars="200"/>
        <w:jc w:val="left"/>
        <w:rPr>
          <w:rFonts w:hAnsi="宋体"/>
          <w:b/>
          <w:bCs/>
          <w:color w:val="auto"/>
          <w:sz w:val="22"/>
          <w:szCs w:val="22"/>
          <w:highlight w:val="none"/>
        </w:rPr>
      </w:pPr>
      <w:r>
        <w:rPr>
          <w:rFonts w:hAnsi="宋体"/>
          <w:b/>
          <w:bCs/>
          <w:color w:val="auto"/>
          <w:sz w:val="22"/>
          <w:szCs w:val="22"/>
          <w:highlight w:val="none"/>
        </w:rPr>
        <w:t>按上述修正错误的原则及方法调整或修正投标文件的投标报价，投标人同意</w:t>
      </w:r>
      <w:r>
        <w:rPr>
          <w:rFonts w:hint="eastAsia" w:hAnsi="宋体"/>
          <w:b/>
          <w:bCs/>
          <w:color w:val="auto"/>
          <w:sz w:val="22"/>
          <w:szCs w:val="22"/>
          <w:highlight w:val="none"/>
        </w:rPr>
        <w:t>并签字确认</w:t>
      </w:r>
      <w:r>
        <w:rPr>
          <w:rFonts w:hAnsi="宋体"/>
          <w:b/>
          <w:bCs/>
          <w:color w:val="auto"/>
          <w:sz w:val="22"/>
          <w:szCs w:val="22"/>
          <w:highlight w:val="none"/>
        </w:rPr>
        <w:t>后，调整后的投标报价对投标人具有约束作用。如果投标人不接受修正后的报价，则其投标将</w:t>
      </w:r>
      <w:r>
        <w:rPr>
          <w:rFonts w:hint="eastAsia" w:hAnsi="宋体"/>
          <w:b/>
          <w:bCs/>
          <w:color w:val="auto"/>
          <w:sz w:val="22"/>
          <w:szCs w:val="22"/>
          <w:highlight w:val="none"/>
        </w:rPr>
        <w:t>作为无效投标处理</w:t>
      </w:r>
      <w:r>
        <w:rPr>
          <w:rFonts w:hAnsi="宋体"/>
          <w:b/>
          <w:bCs/>
          <w:color w:val="auto"/>
          <w:sz w:val="22"/>
          <w:szCs w:val="22"/>
          <w:highlight w:val="none"/>
        </w:rPr>
        <w:t>。</w:t>
      </w:r>
    </w:p>
    <w:p w14:paraId="1F6DEE4C">
      <w:pPr>
        <w:pStyle w:val="16"/>
        <w:tabs>
          <w:tab w:val="left" w:pos="630"/>
        </w:tabs>
        <w:snapToGrid w:val="0"/>
        <w:spacing w:beforeLines="0" w:afterLines="0" w:line="440" w:lineRule="exact"/>
        <w:ind w:firstLine="442" w:firstLineChars="200"/>
        <w:jc w:val="left"/>
        <w:rPr>
          <w:rFonts w:hAnsi="宋体"/>
          <w:b/>
          <w:color w:val="auto"/>
          <w:sz w:val="22"/>
          <w:szCs w:val="22"/>
          <w:highlight w:val="none"/>
        </w:rPr>
      </w:pPr>
      <w:r>
        <w:rPr>
          <w:rFonts w:hAnsi="宋体"/>
          <w:b/>
          <w:color w:val="auto"/>
          <w:sz w:val="22"/>
          <w:szCs w:val="22"/>
          <w:highlight w:val="none"/>
        </w:rPr>
        <w:t>（六）评标原则和评标办法</w:t>
      </w:r>
    </w:p>
    <w:p w14:paraId="0F2B8526">
      <w:pPr>
        <w:pStyle w:val="16"/>
        <w:snapToGrid w:val="0"/>
        <w:spacing w:beforeLines="0" w:afterLines="0" w:line="440" w:lineRule="exact"/>
        <w:ind w:firstLine="440" w:firstLineChars="200"/>
        <w:jc w:val="left"/>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w:t>
      </w:r>
      <w:r>
        <w:rPr>
          <w:rFonts w:hAnsi="宋体"/>
          <w:color w:val="auto"/>
          <w:sz w:val="22"/>
          <w:szCs w:val="22"/>
          <w:highlight w:val="none"/>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DCAF38A">
      <w:pPr>
        <w:pStyle w:val="16"/>
        <w:snapToGrid w:val="0"/>
        <w:spacing w:beforeLines="0" w:afterLines="0" w:line="440" w:lineRule="exact"/>
        <w:ind w:firstLine="440" w:firstLineChars="200"/>
        <w:jc w:val="left"/>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w:t>
      </w:r>
      <w:r>
        <w:rPr>
          <w:rFonts w:hAnsi="宋体"/>
          <w:color w:val="auto"/>
          <w:sz w:val="22"/>
          <w:szCs w:val="22"/>
          <w:highlight w:val="none"/>
        </w:rPr>
        <w:t>评标办法。本项目评标办法是</w:t>
      </w:r>
      <w:r>
        <w:rPr>
          <w:rFonts w:hint="eastAsia" w:hAnsi="宋体"/>
          <w:color w:val="auto"/>
          <w:sz w:val="22"/>
          <w:szCs w:val="22"/>
          <w:highlight w:val="none"/>
          <w:u w:val="single"/>
        </w:rPr>
        <w:t>综合评分法</w:t>
      </w:r>
      <w:r>
        <w:rPr>
          <w:rFonts w:hAnsi="宋体"/>
          <w:color w:val="auto"/>
          <w:sz w:val="22"/>
          <w:szCs w:val="22"/>
          <w:highlight w:val="none"/>
        </w:rPr>
        <w:t>，具体评标内容及评分标准等详见《第</w:t>
      </w:r>
      <w:r>
        <w:rPr>
          <w:rFonts w:hint="eastAsia" w:hAnsi="宋体" w:cs="宋体"/>
          <w:bCs/>
          <w:color w:val="auto"/>
          <w:sz w:val="22"/>
          <w:szCs w:val="22"/>
          <w:highlight w:val="none"/>
        </w:rPr>
        <w:t>四</w:t>
      </w:r>
      <w:r>
        <w:rPr>
          <w:rFonts w:hAnsi="宋体"/>
          <w:color w:val="auto"/>
          <w:sz w:val="22"/>
          <w:szCs w:val="22"/>
          <w:highlight w:val="none"/>
        </w:rPr>
        <w:t>章：评标办法及评分标准》。</w:t>
      </w:r>
    </w:p>
    <w:p w14:paraId="79F6D585">
      <w:pPr>
        <w:pStyle w:val="16"/>
        <w:snapToGrid w:val="0"/>
        <w:spacing w:beforeLines="0" w:afterLines="0" w:line="440" w:lineRule="exact"/>
        <w:ind w:firstLine="442" w:firstLineChars="200"/>
        <w:jc w:val="left"/>
        <w:rPr>
          <w:rFonts w:hAnsi="宋体"/>
          <w:b/>
          <w:color w:val="auto"/>
          <w:sz w:val="22"/>
          <w:szCs w:val="22"/>
          <w:highlight w:val="none"/>
        </w:rPr>
      </w:pPr>
      <w:r>
        <w:rPr>
          <w:rFonts w:hAnsi="宋体"/>
          <w:b/>
          <w:color w:val="auto"/>
          <w:sz w:val="22"/>
          <w:szCs w:val="22"/>
          <w:highlight w:val="none"/>
        </w:rPr>
        <w:t>（七）评标过程的监控</w:t>
      </w:r>
    </w:p>
    <w:p w14:paraId="7E9A3C99">
      <w:pPr>
        <w:pStyle w:val="16"/>
        <w:snapToGrid w:val="0"/>
        <w:spacing w:beforeLines="0" w:afterLines="0" w:line="440" w:lineRule="exact"/>
        <w:ind w:firstLine="440" w:firstLineChars="200"/>
        <w:jc w:val="left"/>
        <w:rPr>
          <w:rFonts w:hAnsi="宋体"/>
          <w:color w:val="auto"/>
          <w:sz w:val="22"/>
          <w:szCs w:val="22"/>
          <w:highlight w:val="none"/>
        </w:rPr>
      </w:pPr>
      <w:r>
        <w:rPr>
          <w:rFonts w:hAnsi="宋体"/>
          <w:color w:val="auto"/>
          <w:sz w:val="22"/>
          <w:szCs w:val="22"/>
          <w:highlight w:val="none"/>
        </w:rPr>
        <w:t>投标人在评标过程中所进行的</w:t>
      </w:r>
      <w:r>
        <w:rPr>
          <w:rFonts w:hint="eastAsia" w:hAnsi="宋体"/>
          <w:color w:val="auto"/>
          <w:sz w:val="22"/>
          <w:szCs w:val="22"/>
          <w:highlight w:val="none"/>
        </w:rPr>
        <w:t>试</w:t>
      </w:r>
      <w:r>
        <w:rPr>
          <w:rFonts w:hAnsi="宋体"/>
          <w:color w:val="auto"/>
          <w:sz w:val="22"/>
          <w:szCs w:val="22"/>
          <w:highlight w:val="none"/>
        </w:rPr>
        <w:t>图影响评标结果的不公正活动，可能导致其投标被拒绝。</w:t>
      </w:r>
    </w:p>
    <w:p w14:paraId="70702477">
      <w:pPr>
        <w:pStyle w:val="16"/>
        <w:snapToGrid w:val="0"/>
        <w:spacing w:beforeLines="0" w:afterLines="0" w:line="440" w:lineRule="exact"/>
        <w:ind w:firstLine="442" w:firstLineChars="200"/>
        <w:jc w:val="left"/>
        <w:rPr>
          <w:rFonts w:hAnsi="宋体"/>
          <w:b/>
          <w:color w:val="auto"/>
          <w:sz w:val="22"/>
          <w:szCs w:val="22"/>
          <w:highlight w:val="none"/>
        </w:rPr>
      </w:pPr>
      <w:bookmarkStart w:id="74" w:name="_Toc50128405"/>
      <w:r>
        <w:rPr>
          <w:rFonts w:hint="eastAsia" w:hAnsi="宋体"/>
          <w:b/>
          <w:color w:val="auto"/>
          <w:sz w:val="22"/>
          <w:szCs w:val="22"/>
          <w:highlight w:val="none"/>
        </w:rPr>
        <w:t>（八）中标候选人</w:t>
      </w:r>
      <w:bookmarkEnd w:id="74"/>
    </w:p>
    <w:p w14:paraId="44909B93">
      <w:pPr>
        <w:snapToGrid w:val="0"/>
        <w:spacing w:line="440" w:lineRule="exact"/>
        <w:ind w:firstLine="442" w:firstLineChars="200"/>
        <w:jc w:val="left"/>
        <w:rPr>
          <w:rFonts w:ascii="宋体" w:hAnsi="宋体" w:cs="宋体"/>
          <w:b/>
          <w:color w:val="auto"/>
          <w:sz w:val="22"/>
          <w:szCs w:val="22"/>
          <w:highlight w:val="none"/>
        </w:rPr>
      </w:pPr>
      <w:r>
        <w:rPr>
          <w:rFonts w:hint="eastAsia" w:ascii="宋体" w:hAnsi="宋体" w:cs="宋体"/>
          <w:b/>
          <w:color w:val="auto"/>
          <w:sz w:val="22"/>
          <w:szCs w:val="22"/>
          <w:highlight w:val="none"/>
        </w:rPr>
        <w:t>1.评标委员会根据各投标人的综合得分高低排定顺序，推荐综合得分最高的投标人为第一中标候选人</w:t>
      </w:r>
      <w:r>
        <w:rPr>
          <w:rFonts w:hint="eastAsia" w:ascii="宋体" w:hAnsi="宋体"/>
          <w:color w:val="auto"/>
          <w:sz w:val="22"/>
          <w:szCs w:val="22"/>
          <w:highlight w:val="none"/>
        </w:rPr>
        <w:t>（得分相同投标报价低的排序优先；得分且投标报价相同的，抽签决定）</w:t>
      </w:r>
      <w:r>
        <w:rPr>
          <w:rFonts w:hint="eastAsia" w:ascii="宋体" w:hAnsi="宋体" w:cs="宋体"/>
          <w:b/>
          <w:color w:val="auto"/>
          <w:sz w:val="22"/>
          <w:szCs w:val="22"/>
          <w:highlight w:val="none"/>
        </w:rPr>
        <w:t>。招标人根据评标委员会推荐的中标候选人确定中标人。</w:t>
      </w:r>
    </w:p>
    <w:p w14:paraId="13B1C45E">
      <w:pPr>
        <w:snapToGrid w:val="0"/>
        <w:spacing w:line="440" w:lineRule="exact"/>
        <w:ind w:firstLine="440" w:firstLineChars="200"/>
        <w:jc w:val="left"/>
        <w:rPr>
          <w:rFonts w:ascii="宋体" w:hAnsi="宋体"/>
          <w:color w:val="auto"/>
          <w:sz w:val="22"/>
          <w:szCs w:val="22"/>
          <w:highlight w:val="none"/>
        </w:rPr>
      </w:pPr>
      <w:r>
        <w:rPr>
          <w:rFonts w:ascii="宋体" w:hAnsi="宋体"/>
          <w:color w:val="auto"/>
          <w:sz w:val="22"/>
          <w:szCs w:val="22"/>
          <w:highlight w:val="none"/>
        </w:rPr>
        <w:t>2</w:t>
      </w:r>
      <w:r>
        <w:rPr>
          <w:rFonts w:hint="eastAsia" w:ascii="宋体" w:hAnsi="宋体"/>
          <w:color w:val="auto"/>
          <w:sz w:val="22"/>
          <w:szCs w:val="22"/>
          <w:highlight w:val="none"/>
        </w:rPr>
        <w:t>.</w:t>
      </w:r>
      <w:r>
        <w:rPr>
          <w:rFonts w:ascii="宋体" w:hAnsi="宋体"/>
          <w:color w:val="auto"/>
          <w:sz w:val="22"/>
          <w:szCs w:val="22"/>
          <w:highlight w:val="none"/>
        </w:rPr>
        <w:t>中标人拖延、拒签</w:t>
      </w:r>
      <w:r>
        <w:rPr>
          <w:rFonts w:hint="eastAsia" w:ascii="宋体" w:hAnsi="宋体"/>
          <w:color w:val="auto"/>
          <w:sz w:val="22"/>
          <w:szCs w:val="22"/>
          <w:highlight w:val="none"/>
        </w:rPr>
        <w:t>合同或拒交履约保证金</w:t>
      </w:r>
      <w:r>
        <w:rPr>
          <w:rFonts w:ascii="宋体" w:hAnsi="宋体"/>
          <w:color w:val="auto"/>
          <w:sz w:val="22"/>
          <w:szCs w:val="22"/>
          <w:highlight w:val="none"/>
        </w:rPr>
        <w:t>的或</w:t>
      </w:r>
      <w:r>
        <w:rPr>
          <w:rFonts w:hint="eastAsia" w:ascii="宋体" w:hAnsi="宋体"/>
          <w:color w:val="auto"/>
          <w:sz w:val="22"/>
          <w:szCs w:val="22"/>
          <w:highlight w:val="none"/>
        </w:rPr>
        <w:t>在本次招标活动中存在违法违规行为</w:t>
      </w:r>
      <w:r>
        <w:rPr>
          <w:rFonts w:ascii="宋体" w:hAnsi="宋体"/>
          <w:color w:val="auto"/>
          <w:sz w:val="22"/>
          <w:szCs w:val="22"/>
          <w:highlight w:val="none"/>
        </w:rPr>
        <w:t>,将被扣罚投标保证金并取消中标资格</w:t>
      </w:r>
      <w:r>
        <w:rPr>
          <w:rFonts w:hint="eastAsia" w:ascii="宋体" w:hAnsi="宋体"/>
          <w:color w:val="auto"/>
          <w:sz w:val="22"/>
          <w:szCs w:val="22"/>
          <w:highlight w:val="none"/>
        </w:rPr>
        <w:t>。</w:t>
      </w:r>
    </w:p>
    <w:p w14:paraId="527F4695">
      <w:pPr>
        <w:spacing w:line="440" w:lineRule="exact"/>
        <w:ind w:firstLine="440" w:firstLineChars="200"/>
        <w:jc w:val="left"/>
        <w:rPr>
          <w:rFonts w:ascii="宋体" w:hAnsi="宋体"/>
          <w:b/>
          <w:color w:val="auto"/>
          <w:sz w:val="22"/>
          <w:szCs w:val="22"/>
          <w:highlight w:val="none"/>
        </w:rPr>
      </w:pPr>
      <w:r>
        <w:rPr>
          <w:rFonts w:hint="eastAsia" w:ascii="宋体" w:hAnsi="宋体"/>
          <w:color w:val="auto"/>
          <w:sz w:val="22"/>
          <w:szCs w:val="22"/>
          <w:highlight w:val="none"/>
        </w:rPr>
        <w:t>3.中标候选人放弃中标；因不可抗力提出不能履行合同；或未能在规定时间内与招标人签订合同的；或者经质疑，招标人审查后，确因中标候选人在本次招标活动中存在违法违规行为或其他原因使质疑成立的，招标人可重新招标。</w:t>
      </w:r>
    </w:p>
    <w:p w14:paraId="4A72371D">
      <w:pPr>
        <w:tabs>
          <w:tab w:val="left" w:pos="425"/>
          <w:tab w:val="left" w:pos="540"/>
        </w:tabs>
        <w:spacing w:line="440" w:lineRule="exac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4.招标人对决标结果不做任何解释，也不保证最低报价中标。</w:t>
      </w:r>
    </w:p>
    <w:p w14:paraId="4D11AA2B">
      <w:pPr>
        <w:pStyle w:val="16"/>
        <w:snapToGrid w:val="0"/>
        <w:spacing w:beforeLines="0" w:afterLines="0" w:line="440" w:lineRule="exact"/>
        <w:ind w:firstLine="442" w:firstLineChars="200"/>
        <w:jc w:val="left"/>
        <w:rPr>
          <w:rFonts w:hAnsi="宋体"/>
          <w:b/>
          <w:color w:val="auto"/>
          <w:sz w:val="22"/>
          <w:szCs w:val="22"/>
          <w:highlight w:val="none"/>
        </w:rPr>
      </w:pPr>
      <w:bookmarkStart w:id="75" w:name="_Toc50128406"/>
      <w:r>
        <w:rPr>
          <w:rFonts w:hint="eastAsia" w:hAnsi="宋体"/>
          <w:b/>
          <w:color w:val="auto"/>
          <w:sz w:val="22"/>
          <w:szCs w:val="22"/>
          <w:highlight w:val="none"/>
        </w:rPr>
        <w:t>（九）合同授予</w:t>
      </w:r>
      <w:bookmarkEnd w:id="75"/>
    </w:p>
    <w:p w14:paraId="17D44747">
      <w:pPr>
        <w:tabs>
          <w:tab w:val="left" w:pos="425"/>
          <w:tab w:val="left" w:pos="540"/>
        </w:tabs>
        <w:spacing w:line="440" w:lineRule="exact"/>
        <w:ind w:firstLine="442" w:firstLineChars="200"/>
        <w:jc w:val="left"/>
        <w:rPr>
          <w:rFonts w:ascii="宋体" w:hAnsi="宋体" w:cs="宋体"/>
          <w:bCs/>
          <w:color w:val="auto"/>
          <w:sz w:val="22"/>
          <w:szCs w:val="22"/>
          <w:highlight w:val="none"/>
        </w:rPr>
      </w:pPr>
      <w:r>
        <w:rPr>
          <w:rFonts w:hint="eastAsia" w:ascii="宋体" w:hAnsi="宋体" w:cs="宋体"/>
          <w:b/>
          <w:color w:val="auto"/>
          <w:sz w:val="22"/>
          <w:szCs w:val="22"/>
          <w:highlight w:val="none"/>
        </w:rPr>
        <w:t>1.评审结束后，招标人将对评标专家推荐的第一中标候选人进行最终审查，审查内容主要是中标人是否有能力（财务、技术和生产能力）履行合同。</w:t>
      </w:r>
      <w:r>
        <w:rPr>
          <w:rFonts w:hint="eastAsia" w:ascii="宋体" w:hAnsi="宋体" w:cs="宋体"/>
          <w:bCs/>
          <w:color w:val="auto"/>
          <w:sz w:val="22"/>
          <w:szCs w:val="22"/>
          <w:highlight w:val="none"/>
        </w:rPr>
        <w:t>审查通过，招标人将把中标合同授予该中标人；审查未通过，招标人将拒绝其中标，</w:t>
      </w:r>
      <w:r>
        <w:rPr>
          <w:rFonts w:hint="eastAsia" w:ascii="宋体" w:hAnsi="宋体"/>
          <w:color w:val="auto"/>
          <w:sz w:val="22"/>
          <w:szCs w:val="22"/>
          <w:highlight w:val="none"/>
        </w:rPr>
        <w:t>并</w:t>
      </w:r>
      <w:r>
        <w:rPr>
          <w:rFonts w:hint="eastAsia" w:ascii="宋体" w:hAnsi="宋体" w:cs="宋体"/>
          <w:bCs/>
          <w:color w:val="auto"/>
          <w:sz w:val="22"/>
          <w:szCs w:val="22"/>
          <w:highlight w:val="none"/>
        </w:rPr>
        <w:t>重新招标。</w:t>
      </w:r>
    </w:p>
    <w:p w14:paraId="3E34E81A">
      <w:pPr>
        <w:tabs>
          <w:tab w:val="left" w:pos="425"/>
          <w:tab w:val="left" w:pos="540"/>
        </w:tabs>
        <w:spacing w:line="440" w:lineRule="exac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2.评标专家确定的中标候选人经招标人审查合格后在本项目招标指定信息发布媒体上公示，结果公示期限为3个工作日。各投标人对评标结果如有异议，可在规定时间内以书面形式向招标人进行署名投诉或提出质疑，但需对投诉或质疑内容的真实性承担法律责任。</w:t>
      </w:r>
    </w:p>
    <w:p w14:paraId="66F25F26">
      <w:pPr>
        <w:tabs>
          <w:tab w:val="left" w:pos="425"/>
          <w:tab w:val="left" w:pos="540"/>
        </w:tabs>
        <w:spacing w:line="440" w:lineRule="exac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3.公示期结束后，招标人向中标人发出中标通知书，中标通知书是合同的一个组成部分,对招标人和中标人均具有同等法律效力。</w:t>
      </w:r>
    </w:p>
    <w:p w14:paraId="35CCDC31">
      <w:pPr>
        <w:tabs>
          <w:tab w:val="left" w:pos="425"/>
          <w:tab w:val="left" w:pos="540"/>
        </w:tabs>
        <w:spacing w:line="440" w:lineRule="exac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4.招标人与中标人应当在《中标通知书》发出之日起30日内签订合同。同时，招标人对合同内容进行审查，如发现与采购结果和投标承诺内容不一致的，应予以纠正。</w:t>
      </w:r>
    </w:p>
    <w:p w14:paraId="743133C9">
      <w:pPr>
        <w:pStyle w:val="12"/>
        <w:tabs>
          <w:tab w:val="left" w:pos="540"/>
        </w:tabs>
        <w:spacing w:line="440" w:lineRule="exact"/>
        <w:ind w:firstLine="442" w:firstLineChars="200"/>
        <w:rPr>
          <w:b/>
          <w:color w:val="auto"/>
          <w:sz w:val="22"/>
          <w:szCs w:val="22"/>
          <w:highlight w:val="none"/>
        </w:rPr>
      </w:pPr>
      <w:r>
        <w:rPr>
          <w:rFonts w:hint="eastAsia" w:ascii="宋体" w:hAnsi="宋体"/>
          <w:b/>
          <w:bCs/>
          <w:color w:val="auto"/>
          <w:sz w:val="22"/>
          <w:szCs w:val="22"/>
          <w:highlight w:val="none"/>
        </w:rPr>
        <w:t>（十）履约保证金</w:t>
      </w:r>
    </w:p>
    <w:p w14:paraId="144C8DBF">
      <w:pPr>
        <w:spacing w:line="44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1.中标人在收到中标通知书后，中标人在合同签订之前须向招标人提交签订合同价的5%履约保证金，并且要保证履约保证金在合同履行期间的有效性。</w:t>
      </w:r>
    </w:p>
    <w:p w14:paraId="20DF5AA6">
      <w:pPr>
        <w:spacing w:line="44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2.履约保证金用于补偿招标人因中标人不能完成其合同义务而蒙受的损失。</w:t>
      </w:r>
    </w:p>
    <w:p w14:paraId="4ECC9910">
      <w:pPr>
        <w:spacing w:line="440" w:lineRule="exact"/>
        <w:ind w:firstLine="440" w:firstLineChars="200"/>
        <w:jc w:val="left"/>
        <w:rPr>
          <w:rFonts w:ascii="宋体" w:hAnsi="宋体" w:cs="宋体"/>
          <w:color w:val="auto"/>
          <w:sz w:val="22"/>
          <w:szCs w:val="22"/>
          <w:highlight w:val="none"/>
        </w:rPr>
      </w:pPr>
      <w:r>
        <w:rPr>
          <w:rFonts w:hint="eastAsia" w:ascii="宋体" w:hAnsi="宋体"/>
          <w:color w:val="auto"/>
          <w:sz w:val="22"/>
          <w:szCs w:val="22"/>
          <w:highlight w:val="none"/>
        </w:rPr>
        <w:t>3.履约保证金自合同签订之日起至全部合同履行完毕。有效期满后，招标人应及时将履约保证金无息退还给中标人。</w:t>
      </w:r>
    </w:p>
    <w:p w14:paraId="44D322E7">
      <w:pPr>
        <w:pStyle w:val="2"/>
        <w:ind w:firstLine="201"/>
        <w:rPr>
          <w:b/>
          <w:color w:val="auto"/>
          <w:highlight w:val="none"/>
        </w:rPr>
      </w:pPr>
      <w:r>
        <w:rPr>
          <w:rFonts w:hint="eastAsia"/>
          <w:b/>
          <w:color w:val="auto"/>
          <w:highlight w:val="none"/>
        </w:rPr>
        <w:br w:type="page"/>
      </w:r>
    </w:p>
    <w:p w14:paraId="7CE13780">
      <w:pPr>
        <w:pStyle w:val="22"/>
        <w:rPr>
          <w:color w:val="auto"/>
          <w:highlight w:val="none"/>
        </w:rPr>
      </w:pPr>
      <w:bookmarkStart w:id="76" w:name="_Toc50128407"/>
      <w:bookmarkStart w:id="77" w:name="_Toc12894"/>
      <w:r>
        <w:rPr>
          <w:rFonts w:hint="eastAsia"/>
          <w:color w:val="auto"/>
          <w:highlight w:val="none"/>
        </w:rPr>
        <w:t>第四章  评标办法及评分标准</w:t>
      </w:r>
      <w:bookmarkEnd w:id="76"/>
      <w:bookmarkEnd w:id="77"/>
    </w:p>
    <w:p w14:paraId="3FEF9206">
      <w:pPr>
        <w:pStyle w:val="3"/>
        <w:spacing w:after="0" w:line="440" w:lineRule="exact"/>
        <w:ind w:firstLine="442" w:firstLineChars="200"/>
        <w:jc w:val="left"/>
        <w:rPr>
          <w:rFonts w:ascii="宋体" w:hAnsi="宋体" w:cs="宋体"/>
          <w:b/>
          <w:color w:val="auto"/>
          <w:sz w:val="22"/>
          <w:szCs w:val="22"/>
          <w:highlight w:val="none"/>
        </w:rPr>
      </w:pPr>
      <w:bookmarkStart w:id="78" w:name="_Toc221356898"/>
      <w:bookmarkStart w:id="79" w:name="_Toc221356961"/>
      <w:r>
        <w:rPr>
          <w:rFonts w:hint="eastAsia" w:ascii="宋体" w:hAnsi="宋体" w:cs="宋体"/>
          <w:b/>
          <w:color w:val="auto"/>
          <w:sz w:val="22"/>
          <w:szCs w:val="22"/>
          <w:highlight w:val="none"/>
        </w:rPr>
        <w:t>一、总则</w:t>
      </w:r>
      <w:bookmarkEnd w:id="78"/>
      <w:bookmarkEnd w:id="79"/>
    </w:p>
    <w:p w14:paraId="453F5CED">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进行评标，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4A739FB3">
      <w:pPr>
        <w:spacing w:line="440" w:lineRule="exact"/>
        <w:ind w:firstLine="442" w:firstLineChars="200"/>
        <w:jc w:val="left"/>
        <w:rPr>
          <w:rFonts w:ascii="宋体" w:hAnsi="宋体" w:cs="宋体"/>
          <w:b/>
          <w:color w:val="auto"/>
          <w:sz w:val="22"/>
          <w:szCs w:val="22"/>
          <w:highlight w:val="none"/>
        </w:rPr>
      </w:pPr>
      <w:r>
        <w:rPr>
          <w:rFonts w:hint="eastAsia" w:ascii="宋体" w:hAnsi="宋体" w:cs="宋体"/>
          <w:b/>
          <w:color w:val="auto"/>
          <w:sz w:val="22"/>
          <w:szCs w:val="22"/>
          <w:highlight w:val="none"/>
        </w:rPr>
        <w:t>二、评标组织</w:t>
      </w:r>
    </w:p>
    <w:p w14:paraId="00B2BD02">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评标工作由招标人依法组建5人评标专家成员负责，评标全过程由有关部门指导监督。</w:t>
      </w:r>
    </w:p>
    <w:p w14:paraId="04CF2594">
      <w:pPr>
        <w:spacing w:line="440" w:lineRule="exact"/>
        <w:ind w:firstLine="442" w:firstLineChars="200"/>
        <w:jc w:val="left"/>
        <w:rPr>
          <w:rFonts w:ascii="宋体" w:hAnsi="宋体" w:cs="宋体"/>
          <w:b/>
          <w:color w:val="auto"/>
          <w:sz w:val="22"/>
          <w:szCs w:val="22"/>
          <w:highlight w:val="none"/>
        </w:rPr>
      </w:pPr>
      <w:r>
        <w:rPr>
          <w:rFonts w:hint="eastAsia" w:ascii="宋体" w:hAnsi="宋体" w:cs="宋体"/>
          <w:b/>
          <w:color w:val="auto"/>
          <w:sz w:val="22"/>
          <w:szCs w:val="22"/>
          <w:highlight w:val="none"/>
        </w:rPr>
        <w:t>三、评标程序</w:t>
      </w:r>
    </w:p>
    <w:p w14:paraId="08547F4E">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由招标人或招标代理机构对各投标人的投标资格进行审查；然后由评委对合格投标人的资格审查文件、商务技术标进行评审,资格审查文件、商务技术标评审结束后进行价格标评审，计算综合得分，提交评审报告。</w:t>
      </w:r>
    </w:p>
    <w:p w14:paraId="19CF9931">
      <w:pPr>
        <w:spacing w:line="440" w:lineRule="exact"/>
        <w:ind w:firstLine="442" w:firstLineChars="200"/>
        <w:jc w:val="left"/>
        <w:rPr>
          <w:rFonts w:ascii="宋体" w:hAnsi="宋体" w:cs="宋体"/>
          <w:b/>
          <w:color w:val="auto"/>
          <w:sz w:val="22"/>
          <w:szCs w:val="22"/>
          <w:highlight w:val="none"/>
        </w:rPr>
      </w:pPr>
      <w:r>
        <w:rPr>
          <w:rFonts w:hint="eastAsia" w:ascii="宋体" w:hAnsi="宋体" w:cs="宋体"/>
          <w:b/>
          <w:color w:val="auto"/>
          <w:sz w:val="22"/>
          <w:szCs w:val="22"/>
          <w:highlight w:val="none"/>
        </w:rPr>
        <w:t>四、评标办法</w:t>
      </w:r>
    </w:p>
    <w:p w14:paraId="793F22DC">
      <w:pPr>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本次采购采用百分制综合评分法，即投标人最大限度地满足招标文件实质性要求的基础上，按照招标文件的各项因素进行综合评审后，以综合得分高低的顺序推荐中标候选人的评标方法。根据采购要求，</w:t>
      </w:r>
      <w:r>
        <w:rPr>
          <w:rFonts w:hint="eastAsia" w:ascii="宋体" w:hAnsi="宋体" w:cs="宋体"/>
          <w:b/>
          <w:color w:val="auto"/>
          <w:sz w:val="22"/>
          <w:szCs w:val="22"/>
          <w:highlight w:val="none"/>
        </w:rPr>
        <w:t>总分设定为100分；其中商务技术标</w:t>
      </w:r>
      <w:r>
        <w:rPr>
          <w:rFonts w:hint="eastAsia" w:ascii="宋体" w:hAnsi="宋体" w:cs="宋体"/>
          <w:b/>
          <w:color w:val="auto"/>
          <w:sz w:val="22"/>
          <w:szCs w:val="22"/>
          <w:highlight w:val="none"/>
          <w:u w:val="single"/>
          <w:lang w:val="en-US" w:eastAsia="zh-CN"/>
        </w:rPr>
        <w:t>25</w:t>
      </w:r>
      <w:r>
        <w:rPr>
          <w:rFonts w:hint="eastAsia" w:ascii="宋体" w:hAnsi="宋体" w:cs="宋体"/>
          <w:b/>
          <w:color w:val="auto"/>
          <w:sz w:val="22"/>
          <w:szCs w:val="22"/>
          <w:highlight w:val="none"/>
        </w:rPr>
        <w:t>分，价格标</w:t>
      </w:r>
      <w:r>
        <w:rPr>
          <w:rFonts w:hint="eastAsia" w:ascii="宋体" w:hAnsi="宋体" w:cs="宋体"/>
          <w:b/>
          <w:color w:val="auto"/>
          <w:sz w:val="22"/>
          <w:szCs w:val="22"/>
          <w:highlight w:val="none"/>
          <w:u w:val="single"/>
          <w:lang w:val="en-US" w:eastAsia="zh-CN"/>
        </w:rPr>
        <w:t>75</w:t>
      </w:r>
      <w:r>
        <w:rPr>
          <w:rFonts w:hint="eastAsia" w:ascii="宋体" w:hAnsi="宋体" w:cs="宋体"/>
          <w:b/>
          <w:color w:val="auto"/>
          <w:sz w:val="22"/>
          <w:szCs w:val="22"/>
          <w:highlight w:val="none"/>
        </w:rPr>
        <w:t>分。</w:t>
      </w:r>
    </w:p>
    <w:p w14:paraId="4E9D276A">
      <w:pPr>
        <w:spacing w:line="440" w:lineRule="exact"/>
        <w:ind w:firstLine="442" w:firstLineChars="200"/>
        <w:jc w:val="left"/>
        <w:rPr>
          <w:rFonts w:ascii="宋体" w:hAnsi="宋体"/>
          <w:b/>
          <w:bCs/>
          <w:color w:val="auto"/>
          <w:sz w:val="22"/>
          <w:szCs w:val="22"/>
          <w:highlight w:val="none"/>
        </w:rPr>
      </w:pPr>
      <w:bookmarkStart w:id="80" w:name="_Toc221356902"/>
      <w:bookmarkStart w:id="81" w:name="_Toc221356965"/>
      <w:r>
        <w:rPr>
          <w:rFonts w:hint="eastAsia" w:ascii="宋体" w:hAnsi="宋体" w:cs="宋体"/>
          <w:b/>
          <w:color w:val="auto"/>
          <w:sz w:val="22"/>
          <w:szCs w:val="22"/>
          <w:highlight w:val="none"/>
        </w:rPr>
        <w:t>五、</w:t>
      </w:r>
      <w:bookmarkEnd w:id="80"/>
      <w:bookmarkEnd w:id="81"/>
      <w:r>
        <w:rPr>
          <w:rFonts w:hint="eastAsia" w:ascii="宋体" w:hAnsi="宋体"/>
          <w:b/>
          <w:bCs/>
          <w:color w:val="auto"/>
          <w:sz w:val="22"/>
          <w:szCs w:val="22"/>
          <w:highlight w:val="none"/>
        </w:rPr>
        <w:t>评分标准</w:t>
      </w:r>
    </w:p>
    <w:p w14:paraId="7E18103F">
      <w:pPr>
        <w:spacing w:line="440" w:lineRule="exact"/>
        <w:ind w:firstLine="442" w:firstLineChars="200"/>
        <w:jc w:val="left"/>
        <w:rPr>
          <w:rFonts w:ascii="宋体" w:hAnsi="宋体" w:cs="宋体"/>
          <w:b/>
          <w:color w:val="auto"/>
          <w:sz w:val="22"/>
          <w:szCs w:val="22"/>
          <w:highlight w:val="none"/>
        </w:rPr>
      </w:pPr>
      <w:r>
        <w:rPr>
          <w:rFonts w:hint="eastAsia" w:ascii="宋体" w:hAnsi="宋体" w:cs="宋体"/>
          <w:b/>
          <w:color w:val="auto"/>
          <w:sz w:val="22"/>
          <w:szCs w:val="22"/>
          <w:highlight w:val="none"/>
        </w:rPr>
        <w:t>1、商务技术标综合评分</w:t>
      </w:r>
      <w:r>
        <w:rPr>
          <w:rFonts w:hint="eastAsia" w:ascii="宋体" w:hAnsi="宋体" w:cs="宋体"/>
          <w:b/>
          <w:color w:val="auto"/>
          <w:sz w:val="22"/>
          <w:szCs w:val="22"/>
          <w:highlight w:val="none"/>
          <w:lang w:val="en-US" w:eastAsia="zh-CN"/>
        </w:rPr>
        <w:t>25</w:t>
      </w:r>
      <w:r>
        <w:rPr>
          <w:rFonts w:hint="eastAsia" w:ascii="宋体" w:hAnsi="宋体" w:cs="宋体"/>
          <w:b/>
          <w:color w:val="auto"/>
          <w:sz w:val="22"/>
          <w:szCs w:val="22"/>
          <w:highlight w:val="none"/>
        </w:rPr>
        <w:t>分</w:t>
      </w:r>
    </w:p>
    <w:p w14:paraId="2F3EA68F">
      <w:pPr>
        <w:spacing w:line="440" w:lineRule="exact"/>
        <w:ind w:firstLine="440" w:firstLineChars="200"/>
        <w:jc w:val="left"/>
        <w:rPr>
          <w:rFonts w:ascii="宋体" w:hAnsi="宋体" w:cs="宋体"/>
          <w:color w:val="auto"/>
          <w:szCs w:val="21"/>
          <w:highlight w:val="none"/>
        </w:rPr>
      </w:pPr>
      <w:bookmarkStart w:id="82" w:name="_Toc221356966"/>
      <w:bookmarkStart w:id="83" w:name="_Toc221356903"/>
      <w:r>
        <w:rPr>
          <w:rFonts w:hint="eastAsia" w:ascii="宋体" w:hAnsi="宋体" w:cs="宋体"/>
          <w:color w:val="auto"/>
          <w:sz w:val="22"/>
          <w:szCs w:val="22"/>
          <w:highlight w:val="none"/>
        </w:rPr>
        <w:t>各评标专家成员按下列评分项目进行评定，每人一张评分计算表，由评标专家成员各自评定打分并记实名。如任何一张表的一项评分内容分值超过规定的范围，则该张表无效。评标专家成员对各投标人的各项评分内容评分合计值的算术平均值为该投标人商务技术部分的最终得分（四舍五入，保留小数点后二位）。</w:t>
      </w:r>
    </w:p>
    <w:p w14:paraId="4BFB6AA6">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评审标准：</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359"/>
        <w:gridCol w:w="1105"/>
        <w:gridCol w:w="6140"/>
      </w:tblGrid>
      <w:tr w14:paraId="532F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7CCED517">
            <w:pPr>
              <w:spacing w:line="460" w:lineRule="atLeast"/>
              <w:ind w:left="-50"/>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732" w:type="pct"/>
            <w:tcBorders>
              <w:top w:val="single" w:color="auto" w:sz="4" w:space="0"/>
              <w:left w:val="single" w:color="auto" w:sz="4" w:space="0"/>
              <w:bottom w:val="single" w:color="auto" w:sz="4" w:space="0"/>
              <w:right w:val="single" w:color="auto" w:sz="4" w:space="0"/>
            </w:tcBorders>
            <w:vAlign w:val="center"/>
          </w:tcPr>
          <w:p w14:paraId="4BD75795">
            <w:pPr>
              <w:spacing w:line="460" w:lineRule="atLeast"/>
              <w:ind w:left="-50"/>
              <w:jc w:val="center"/>
              <w:rPr>
                <w:rFonts w:ascii="宋体" w:hAnsi="宋体" w:cs="宋体"/>
                <w:color w:val="auto"/>
                <w:sz w:val="22"/>
                <w:szCs w:val="22"/>
                <w:highlight w:val="none"/>
              </w:rPr>
            </w:pPr>
            <w:r>
              <w:rPr>
                <w:rFonts w:hint="eastAsia" w:ascii="宋体" w:hAnsi="宋体" w:cs="宋体"/>
                <w:color w:val="auto"/>
                <w:sz w:val="22"/>
                <w:szCs w:val="22"/>
                <w:highlight w:val="none"/>
              </w:rPr>
              <w:t>评分内容</w:t>
            </w:r>
          </w:p>
        </w:tc>
        <w:tc>
          <w:tcPr>
            <w:tcW w:w="595" w:type="pct"/>
            <w:tcBorders>
              <w:top w:val="single" w:color="auto" w:sz="4" w:space="0"/>
              <w:left w:val="single" w:color="auto" w:sz="4" w:space="0"/>
              <w:bottom w:val="single" w:color="auto" w:sz="4" w:space="0"/>
              <w:right w:val="single" w:color="auto" w:sz="4" w:space="0"/>
            </w:tcBorders>
            <w:vAlign w:val="center"/>
          </w:tcPr>
          <w:p w14:paraId="74C1919D">
            <w:pPr>
              <w:spacing w:line="4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分值</w:t>
            </w:r>
          </w:p>
        </w:tc>
        <w:tc>
          <w:tcPr>
            <w:tcW w:w="3307" w:type="pct"/>
            <w:tcBorders>
              <w:top w:val="single" w:color="auto" w:sz="4" w:space="0"/>
              <w:left w:val="single" w:color="auto" w:sz="4" w:space="0"/>
              <w:bottom w:val="single" w:color="auto" w:sz="4" w:space="0"/>
              <w:right w:val="single" w:color="auto" w:sz="4" w:space="0"/>
            </w:tcBorders>
            <w:vAlign w:val="center"/>
          </w:tcPr>
          <w:p w14:paraId="52CBF7A4">
            <w:pPr>
              <w:spacing w:line="460" w:lineRule="atLeast"/>
              <w:ind w:left="-50"/>
              <w:jc w:val="center"/>
              <w:rPr>
                <w:rFonts w:ascii="宋体" w:hAnsi="宋体" w:cs="宋体"/>
                <w:color w:val="auto"/>
                <w:sz w:val="22"/>
                <w:szCs w:val="22"/>
                <w:highlight w:val="none"/>
              </w:rPr>
            </w:pPr>
            <w:r>
              <w:rPr>
                <w:rFonts w:hint="eastAsia" w:ascii="宋体" w:hAnsi="宋体" w:cs="宋体"/>
                <w:color w:val="auto"/>
                <w:sz w:val="22"/>
                <w:szCs w:val="22"/>
                <w:highlight w:val="none"/>
              </w:rPr>
              <w:t>评审标准</w:t>
            </w:r>
          </w:p>
        </w:tc>
      </w:tr>
      <w:tr w14:paraId="3C0B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699E384F">
            <w:pPr>
              <w:spacing w:line="460" w:lineRule="atLeast"/>
              <w:ind w:left="-50"/>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732" w:type="pct"/>
            <w:tcBorders>
              <w:top w:val="single" w:color="auto" w:sz="4" w:space="0"/>
              <w:left w:val="single" w:color="auto" w:sz="4" w:space="0"/>
              <w:bottom w:val="single" w:color="auto" w:sz="4" w:space="0"/>
              <w:right w:val="single" w:color="auto" w:sz="4" w:space="0"/>
            </w:tcBorders>
            <w:vAlign w:val="center"/>
          </w:tcPr>
          <w:p w14:paraId="2ED9C643">
            <w:pPr>
              <w:spacing w:line="460" w:lineRule="atLeast"/>
              <w:ind w:left="-50"/>
              <w:jc w:val="center"/>
              <w:rPr>
                <w:rFonts w:ascii="宋体" w:hAnsi="宋体" w:cs="宋体"/>
                <w:color w:val="auto"/>
                <w:sz w:val="22"/>
                <w:szCs w:val="22"/>
                <w:highlight w:val="none"/>
              </w:rPr>
            </w:pPr>
            <w:r>
              <w:rPr>
                <w:rFonts w:hint="eastAsia" w:ascii="宋体" w:hAnsi="宋体" w:cs="宋体"/>
                <w:color w:val="auto"/>
                <w:sz w:val="22"/>
                <w:szCs w:val="22"/>
                <w:highlight w:val="none"/>
              </w:rPr>
              <w:t>投标人认证证书</w:t>
            </w:r>
          </w:p>
        </w:tc>
        <w:tc>
          <w:tcPr>
            <w:tcW w:w="595" w:type="pct"/>
            <w:tcBorders>
              <w:top w:val="single" w:color="auto" w:sz="4" w:space="0"/>
              <w:left w:val="single" w:color="auto" w:sz="4" w:space="0"/>
              <w:bottom w:val="single" w:color="auto" w:sz="4" w:space="0"/>
              <w:right w:val="single" w:color="auto" w:sz="4" w:space="0"/>
            </w:tcBorders>
            <w:vAlign w:val="center"/>
          </w:tcPr>
          <w:p w14:paraId="5036CA91">
            <w:pPr>
              <w:spacing w:line="4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3分</w:t>
            </w:r>
          </w:p>
        </w:tc>
        <w:tc>
          <w:tcPr>
            <w:tcW w:w="3307" w:type="pct"/>
            <w:tcBorders>
              <w:top w:val="single" w:color="auto" w:sz="4" w:space="0"/>
              <w:left w:val="single" w:color="auto" w:sz="4" w:space="0"/>
              <w:bottom w:val="single" w:color="auto" w:sz="4" w:space="0"/>
              <w:right w:val="single" w:color="auto" w:sz="4" w:space="0"/>
            </w:tcBorders>
            <w:vAlign w:val="center"/>
          </w:tcPr>
          <w:p w14:paraId="004DC3D5">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1、投标人具备有效的质量管理体系认证得1分；</w:t>
            </w:r>
          </w:p>
          <w:p w14:paraId="2EBDC473">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2、投标人具备有效的环境管理体系认证得1分；</w:t>
            </w:r>
          </w:p>
          <w:p w14:paraId="09FC2E27">
            <w:pPr>
              <w:pStyle w:val="70"/>
              <w:spacing w:line="460" w:lineRule="atLeast"/>
              <w:ind w:left="-50" w:firstLine="0" w:firstLineChars="0"/>
              <w:jc w:val="left"/>
              <w:rPr>
                <w:rFonts w:ascii="宋体" w:hAnsi="宋体" w:cs="宋体"/>
                <w:color w:val="auto"/>
                <w:sz w:val="22"/>
                <w:szCs w:val="22"/>
                <w:highlight w:val="none"/>
              </w:rPr>
            </w:pPr>
            <w:r>
              <w:rPr>
                <w:rFonts w:hint="eastAsia" w:ascii="宋体" w:hAnsi="宋体" w:cs="宋体"/>
                <w:color w:val="auto"/>
                <w:sz w:val="22"/>
                <w:szCs w:val="22"/>
                <w:highlight w:val="none"/>
              </w:rPr>
              <w:t>3、投标人具备有效的职业健康管理体系认证得1分。</w:t>
            </w:r>
          </w:p>
          <w:p w14:paraId="6706F9A5">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注：本项最高3分，证书过期或未提供不得分。</w:t>
            </w:r>
          </w:p>
        </w:tc>
      </w:tr>
      <w:tr w14:paraId="6216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365" w:type="pct"/>
            <w:vMerge w:val="restart"/>
            <w:tcBorders>
              <w:top w:val="single" w:color="auto" w:sz="4" w:space="0"/>
              <w:left w:val="single" w:color="auto" w:sz="4" w:space="0"/>
              <w:right w:val="single" w:color="auto" w:sz="4" w:space="0"/>
            </w:tcBorders>
            <w:vAlign w:val="center"/>
          </w:tcPr>
          <w:p w14:paraId="502120D4">
            <w:pPr>
              <w:spacing w:line="460" w:lineRule="atLeast"/>
              <w:ind w:left="-50"/>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732" w:type="pct"/>
            <w:vMerge w:val="restart"/>
            <w:tcBorders>
              <w:top w:val="single" w:color="auto" w:sz="4" w:space="0"/>
              <w:left w:val="single" w:color="auto" w:sz="4" w:space="0"/>
              <w:right w:val="single" w:color="auto" w:sz="4" w:space="0"/>
            </w:tcBorders>
            <w:vAlign w:val="center"/>
          </w:tcPr>
          <w:p w14:paraId="13DAD0B7">
            <w:pPr>
              <w:spacing w:line="460" w:lineRule="atLeast"/>
              <w:ind w:left="-50"/>
              <w:jc w:val="center"/>
              <w:rPr>
                <w:rFonts w:hint="default" w:ascii="宋体" w:hAnsi="宋体" w:cs="宋体"/>
                <w:color w:val="auto"/>
                <w:sz w:val="22"/>
                <w:szCs w:val="22"/>
                <w:highlight w:val="none"/>
                <w:lang w:val="en-US"/>
              </w:rPr>
            </w:pPr>
            <w:r>
              <w:rPr>
                <w:rFonts w:hint="eastAsia" w:ascii="宋体" w:hAnsi="宋体" w:cs="宋体"/>
                <w:color w:val="auto"/>
                <w:sz w:val="22"/>
                <w:szCs w:val="22"/>
                <w:highlight w:val="none"/>
                <w:lang w:val="en-US" w:eastAsia="zh-CN"/>
              </w:rPr>
              <w:t>人员要求</w:t>
            </w:r>
          </w:p>
        </w:tc>
        <w:tc>
          <w:tcPr>
            <w:tcW w:w="595" w:type="pct"/>
            <w:tcBorders>
              <w:top w:val="single" w:color="auto" w:sz="4" w:space="0"/>
              <w:left w:val="single" w:color="auto" w:sz="4" w:space="0"/>
              <w:bottom w:val="single" w:color="auto" w:sz="4" w:space="0"/>
              <w:right w:val="single" w:color="auto" w:sz="4" w:space="0"/>
            </w:tcBorders>
            <w:vAlign w:val="center"/>
          </w:tcPr>
          <w:p w14:paraId="5AD2BBA5">
            <w:pPr>
              <w:spacing w:line="4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2分</w:t>
            </w:r>
          </w:p>
        </w:tc>
        <w:tc>
          <w:tcPr>
            <w:tcW w:w="3307" w:type="pct"/>
            <w:tcBorders>
              <w:top w:val="single" w:color="auto" w:sz="4" w:space="0"/>
              <w:left w:val="single" w:color="auto" w:sz="4" w:space="0"/>
              <w:bottom w:val="single" w:color="auto" w:sz="4" w:space="0"/>
              <w:right w:val="single" w:color="auto" w:sz="4" w:space="0"/>
            </w:tcBorders>
            <w:vAlign w:val="center"/>
          </w:tcPr>
          <w:p w14:paraId="29D68A7F">
            <w:pPr>
              <w:spacing w:line="460" w:lineRule="atLeast"/>
              <w:ind w:left="-5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项目负责人</w:t>
            </w:r>
            <w:r>
              <w:rPr>
                <w:rFonts w:hint="eastAsia" w:ascii="宋体" w:hAnsi="宋体" w:cs="宋体"/>
                <w:color w:val="auto"/>
                <w:sz w:val="22"/>
                <w:szCs w:val="22"/>
                <w:highlight w:val="none"/>
                <w:lang w:val="en-US" w:eastAsia="zh-CN"/>
              </w:rPr>
              <w:t>要求</w:t>
            </w:r>
            <w:r>
              <w:rPr>
                <w:rFonts w:hint="eastAsia" w:ascii="宋体" w:hAnsi="宋体" w:cs="宋体"/>
                <w:color w:val="auto"/>
                <w:sz w:val="22"/>
                <w:szCs w:val="22"/>
                <w:highlight w:val="none"/>
                <w:lang w:eastAsia="zh-CN"/>
              </w:rPr>
              <w:t>：</w:t>
            </w:r>
          </w:p>
          <w:p w14:paraId="6125F042">
            <w:pPr>
              <w:numPr>
                <w:ilvl w:val="0"/>
                <w:numId w:val="5"/>
              </w:numPr>
              <w:spacing w:line="460" w:lineRule="atLeast"/>
              <w:ind w:left="-50"/>
              <w:jc w:val="left"/>
              <w:rPr>
                <w:rFonts w:hint="default" w:ascii="宋体" w:hAnsi="宋体" w:cs="宋体"/>
                <w:color w:val="auto"/>
                <w:sz w:val="22"/>
                <w:szCs w:val="22"/>
                <w:highlight w:val="none"/>
                <w:lang w:val="en-US"/>
              </w:rPr>
            </w:pPr>
            <w:r>
              <w:rPr>
                <w:rFonts w:hint="eastAsia" w:ascii="宋体" w:hAnsi="宋体" w:cs="宋体"/>
                <w:color w:val="auto"/>
                <w:sz w:val="22"/>
                <w:szCs w:val="22"/>
                <w:highlight w:val="none"/>
              </w:rPr>
              <w:t>具有环保专业副高及以上职称</w:t>
            </w:r>
            <w:r>
              <w:rPr>
                <w:rFonts w:hint="eastAsia" w:ascii="宋体" w:hAnsi="宋体" w:cs="宋体"/>
                <w:color w:val="auto"/>
                <w:sz w:val="22"/>
                <w:szCs w:val="22"/>
                <w:highlight w:val="none"/>
                <w:lang w:eastAsia="zh-CN"/>
              </w:rPr>
              <w:t>的</w:t>
            </w:r>
            <w:r>
              <w:rPr>
                <w:rFonts w:hint="eastAsia" w:ascii="宋体" w:hAnsi="宋体" w:cs="宋体"/>
                <w:color w:val="auto"/>
                <w:sz w:val="22"/>
                <w:szCs w:val="22"/>
                <w:highlight w:val="none"/>
                <w:lang w:val="en-US" w:eastAsia="zh-CN"/>
              </w:rPr>
              <w:t>得1分；</w:t>
            </w:r>
          </w:p>
          <w:p w14:paraId="5B3E0073">
            <w:pPr>
              <w:numPr>
                <w:ilvl w:val="0"/>
                <w:numId w:val="5"/>
              </w:num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具有注册环评工程师证书的得</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分。</w:t>
            </w:r>
          </w:p>
          <w:p w14:paraId="0614AE0D">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注：本项最高得2分，提供职称证书、注册资格证书、社保证明材料（须提供投标前近3个月的社保，扫描件或复印件作为证明材料），证书过期或未提供不得分。</w:t>
            </w:r>
          </w:p>
        </w:tc>
      </w:tr>
      <w:tr w14:paraId="5B3D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jc w:val="center"/>
        </w:trPr>
        <w:tc>
          <w:tcPr>
            <w:tcW w:w="365" w:type="pct"/>
            <w:vMerge w:val="continue"/>
            <w:tcBorders>
              <w:left w:val="single" w:color="auto" w:sz="4" w:space="0"/>
              <w:bottom w:val="single" w:color="auto" w:sz="4" w:space="0"/>
              <w:right w:val="single" w:color="auto" w:sz="4" w:space="0"/>
            </w:tcBorders>
            <w:vAlign w:val="center"/>
          </w:tcPr>
          <w:p w14:paraId="1FFC1439">
            <w:pPr>
              <w:spacing w:line="460" w:lineRule="atLeast"/>
              <w:ind w:left="-50"/>
              <w:jc w:val="center"/>
              <w:rPr>
                <w:rFonts w:ascii="宋体" w:hAnsi="宋体" w:eastAsia="宋体" w:cs="宋体"/>
                <w:color w:val="auto"/>
                <w:sz w:val="22"/>
                <w:szCs w:val="22"/>
                <w:highlight w:val="none"/>
              </w:rPr>
            </w:pPr>
          </w:p>
        </w:tc>
        <w:tc>
          <w:tcPr>
            <w:tcW w:w="732" w:type="pct"/>
            <w:vMerge w:val="continue"/>
            <w:tcBorders>
              <w:left w:val="single" w:color="auto" w:sz="4" w:space="0"/>
              <w:bottom w:val="single" w:color="auto" w:sz="4" w:space="0"/>
              <w:right w:val="single" w:color="auto" w:sz="4" w:space="0"/>
            </w:tcBorders>
            <w:vAlign w:val="center"/>
          </w:tcPr>
          <w:p w14:paraId="439D2815">
            <w:pPr>
              <w:spacing w:line="460" w:lineRule="atLeast"/>
              <w:ind w:left="-50"/>
              <w:jc w:val="center"/>
              <w:rPr>
                <w:rFonts w:ascii="宋体" w:hAnsi="宋体" w:eastAsia="宋体" w:cs="宋体"/>
                <w:color w:val="auto"/>
                <w:sz w:val="22"/>
                <w:szCs w:val="22"/>
                <w:highlight w:val="none"/>
              </w:rPr>
            </w:pPr>
          </w:p>
        </w:tc>
        <w:tc>
          <w:tcPr>
            <w:tcW w:w="595" w:type="pct"/>
            <w:tcBorders>
              <w:top w:val="single" w:color="auto" w:sz="4" w:space="0"/>
              <w:left w:val="single" w:color="auto" w:sz="4" w:space="0"/>
              <w:bottom w:val="single" w:color="auto" w:sz="4" w:space="0"/>
              <w:right w:val="single" w:color="auto" w:sz="4" w:space="0"/>
            </w:tcBorders>
            <w:vAlign w:val="center"/>
          </w:tcPr>
          <w:p w14:paraId="248BA460">
            <w:pPr>
              <w:spacing w:line="460" w:lineRule="atLeast"/>
              <w:jc w:val="center"/>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ascii="宋体" w:hAnsi="宋体" w:eastAsia="宋体" w:cs="宋体"/>
                <w:color w:val="auto"/>
                <w:sz w:val="22"/>
                <w:szCs w:val="22"/>
                <w:highlight w:val="none"/>
              </w:rPr>
              <w:t>分</w:t>
            </w:r>
          </w:p>
        </w:tc>
        <w:tc>
          <w:tcPr>
            <w:tcW w:w="3307" w:type="pct"/>
            <w:tcBorders>
              <w:top w:val="single" w:color="auto" w:sz="4" w:space="0"/>
              <w:left w:val="single" w:color="auto" w:sz="4" w:space="0"/>
              <w:bottom w:val="single" w:color="auto" w:sz="4" w:space="0"/>
              <w:right w:val="single" w:color="auto" w:sz="4" w:space="0"/>
            </w:tcBorders>
            <w:vAlign w:val="center"/>
          </w:tcPr>
          <w:p w14:paraId="3BC13D01">
            <w:pPr>
              <w:spacing w:line="460" w:lineRule="exact"/>
              <w:ind w:left="0"/>
              <w:jc w:val="left"/>
              <w:rPr>
                <w:rFonts w:ascii="宋体" w:hAnsi="宋体" w:cs="宋体"/>
                <w:color w:val="auto"/>
                <w:sz w:val="22"/>
                <w:szCs w:val="22"/>
                <w:highlight w:val="none"/>
              </w:rPr>
            </w:pPr>
            <w:r>
              <w:rPr>
                <w:rFonts w:hint="eastAsia" w:ascii="宋体" w:hAnsi="宋体" w:cs="宋体"/>
                <w:color w:val="auto"/>
                <w:sz w:val="22"/>
                <w:szCs w:val="22"/>
                <w:highlight w:val="none"/>
              </w:rPr>
              <w:t>编制组成员（不含审核人员和项目负责人）</w:t>
            </w:r>
            <w:r>
              <w:rPr>
                <w:rFonts w:hint="eastAsia" w:ascii="宋体" w:hAnsi="宋体" w:cs="宋体"/>
                <w:color w:val="auto"/>
                <w:sz w:val="22"/>
                <w:szCs w:val="22"/>
                <w:highlight w:val="none"/>
                <w:lang w:val="en-US" w:eastAsia="zh-CN"/>
              </w:rPr>
              <w:t>要求</w:t>
            </w:r>
            <w:r>
              <w:rPr>
                <w:rFonts w:hint="eastAsia" w:ascii="宋体" w:hAnsi="宋体" w:cs="宋体"/>
                <w:color w:val="auto"/>
                <w:sz w:val="22"/>
                <w:szCs w:val="22"/>
                <w:highlight w:val="none"/>
              </w:rPr>
              <w:t>：</w:t>
            </w:r>
          </w:p>
          <w:p w14:paraId="24BD8051">
            <w:pPr>
              <w:numPr>
                <w:ilvl w:val="-1"/>
                <w:numId w:val="0"/>
              </w:numPr>
              <w:spacing w:line="460" w:lineRule="exact"/>
              <w:ind w:left="0"/>
              <w:jc w:val="left"/>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1、每</w:t>
            </w:r>
            <w:r>
              <w:rPr>
                <w:rFonts w:hint="eastAsia" w:ascii="宋体" w:hAnsi="宋体" w:cs="宋体"/>
                <w:color w:val="auto"/>
                <w:sz w:val="22"/>
                <w:szCs w:val="22"/>
                <w:highlight w:val="none"/>
              </w:rPr>
              <w:t>具有</w:t>
            </w:r>
            <w:r>
              <w:rPr>
                <w:rFonts w:hint="eastAsia" w:ascii="宋体" w:hAnsi="宋体" w:cs="宋体"/>
                <w:color w:val="auto"/>
                <w:sz w:val="22"/>
                <w:szCs w:val="22"/>
                <w:highlight w:val="none"/>
                <w:lang w:val="en-US" w:eastAsia="zh-CN"/>
              </w:rPr>
              <w:t>一个</w:t>
            </w:r>
            <w:r>
              <w:rPr>
                <w:rFonts w:hint="eastAsia" w:ascii="宋体" w:hAnsi="宋体" w:cs="宋体"/>
                <w:color w:val="auto"/>
                <w:sz w:val="22"/>
                <w:szCs w:val="22"/>
                <w:highlight w:val="none"/>
              </w:rPr>
              <w:t>注册环评</w:t>
            </w:r>
            <w:r>
              <w:rPr>
                <w:rFonts w:hint="eastAsia" w:ascii="宋体" w:hAnsi="宋体" w:cs="宋体"/>
                <w:color w:val="auto"/>
                <w:sz w:val="22"/>
                <w:szCs w:val="22"/>
                <w:highlight w:val="none"/>
                <w:lang w:val="en-US" w:eastAsia="zh-CN"/>
              </w:rPr>
              <w:t>工程师的得0.5分，最高得1分；</w:t>
            </w:r>
          </w:p>
          <w:p w14:paraId="1914BCB0">
            <w:pPr>
              <w:numPr>
                <w:ilvl w:val="-1"/>
                <w:numId w:val="0"/>
              </w:numPr>
              <w:spacing w:line="460" w:lineRule="exact"/>
              <w:ind w:left="0"/>
              <w:jc w:val="left"/>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2、每具有一个</w:t>
            </w:r>
            <w:r>
              <w:rPr>
                <w:rFonts w:hint="eastAsia" w:ascii="宋体" w:hAnsi="宋体" w:cs="宋体"/>
                <w:color w:val="auto"/>
                <w:sz w:val="22"/>
                <w:szCs w:val="22"/>
                <w:highlight w:val="none"/>
              </w:rPr>
              <w:t>中级工程师及以上技术职称的</w:t>
            </w:r>
            <w:r>
              <w:rPr>
                <w:rFonts w:hint="eastAsia"/>
                <w:color w:val="auto"/>
                <w:highlight w:val="none"/>
                <w:lang w:val="en-US" w:eastAsia="zh-CN"/>
              </w:rPr>
              <w:t>得0.5分，最高得1分。</w:t>
            </w:r>
          </w:p>
          <w:p w14:paraId="51D29533">
            <w:pPr>
              <w:spacing w:line="240" w:lineRule="auto"/>
              <w:ind w:left="0"/>
              <w:jc w:val="left"/>
              <w:rPr>
                <w:rFonts w:ascii="宋体" w:hAnsi="宋体" w:cs="宋体"/>
                <w:color w:val="auto"/>
                <w:sz w:val="22"/>
                <w:szCs w:val="22"/>
                <w:highlight w:val="none"/>
              </w:rPr>
            </w:pPr>
            <w:r>
              <w:rPr>
                <w:rFonts w:hint="eastAsia" w:ascii="宋体" w:hAnsi="宋体" w:cs="宋体"/>
                <w:color w:val="auto"/>
                <w:sz w:val="22"/>
                <w:szCs w:val="22"/>
                <w:highlight w:val="none"/>
              </w:rPr>
              <w:t>注：本项最高得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分。提供以上人员注册资格证书、职称证书、社保证明材料（须提供投标前近3个月的社保，扫描件或复印件作为证明材料），证书过期或未提供不得分。</w:t>
            </w:r>
          </w:p>
        </w:tc>
      </w:tr>
      <w:tr w14:paraId="18DA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CD06399">
            <w:pPr>
              <w:spacing w:line="460" w:lineRule="atLeast"/>
              <w:ind w:left="-50"/>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732" w:type="pct"/>
            <w:tcBorders>
              <w:top w:val="single" w:color="auto" w:sz="4" w:space="0"/>
              <w:left w:val="single" w:color="auto" w:sz="4" w:space="0"/>
              <w:bottom w:val="single" w:color="auto" w:sz="4" w:space="0"/>
              <w:right w:val="single" w:color="auto" w:sz="4" w:space="0"/>
            </w:tcBorders>
            <w:vAlign w:val="center"/>
          </w:tcPr>
          <w:p w14:paraId="1DD54548">
            <w:pPr>
              <w:spacing w:line="460" w:lineRule="atLeast"/>
              <w:ind w:left="-5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企业业绩</w:t>
            </w:r>
          </w:p>
        </w:tc>
        <w:tc>
          <w:tcPr>
            <w:tcW w:w="595" w:type="pct"/>
            <w:tcBorders>
              <w:top w:val="single" w:color="auto" w:sz="4" w:space="0"/>
              <w:left w:val="single" w:color="auto" w:sz="4" w:space="0"/>
              <w:bottom w:val="single" w:color="auto" w:sz="4" w:space="0"/>
              <w:right w:val="single" w:color="auto" w:sz="4" w:space="0"/>
            </w:tcBorders>
            <w:vAlign w:val="center"/>
          </w:tcPr>
          <w:p w14:paraId="4CC3969B">
            <w:pPr>
              <w:spacing w:line="4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tc>
        <w:tc>
          <w:tcPr>
            <w:tcW w:w="3307" w:type="pct"/>
            <w:tcBorders>
              <w:top w:val="single" w:color="auto" w:sz="4" w:space="0"/>
              <w:left w:val="single" w:color="auto" w:sz="4" w:space="0"/>
              <w:bottom w:val="single" w:color="auto" w:sz="4" w:space="0"/>
              <w:right w:val="single" w:color="auto" w:sz="4" w:space="0"/>
            </w:tcBorders>
            <w:vAlign w:val="center"/>
          </w:tcPr>
          <w:p w14:paraId="73BCF25C">
            <w:pPr>
              <w:pStyle w:val="2"/>
              <w:spacing w:line="460" w:lineRule="exact"/>
              <w:ind w:left="0" w:firstLine="0" w:firstLineChars="0"/>
              <w:jc w:val="left"/>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投标人2023年1月1日以来（以合同签订时间为准）</w:t>
            </w:r>
            <w:r>
              <w:rPr>
                <w:rFonts w:hint="eastAsia" w:ascii="宋体" w:hAnsi="宋体" w:cs="宋体"/>
                <w:color w:val="auto"/>
                <w:sz w:val="22"/>
                <w:szCs w:val="22"/>
                <w:highlight w:val="none"/>
              </w:rPr>
              <w:t>按一个合同段完成过一个3万吨级及以上沿海港口工程环境影响评价服务项目</w:t>
            </w:r>
            <w:r>
              <w:rPr>
                <w:rFonts w:hint="eastAsia" w:ascii="宋体" w:hAnsi="宋体" w:cs="宋体"/>
                <w:color w:val="auto"/>
                <w:sz w:val="22"/>
                <w:szCs w:val="22"/>
                <w:highlight w:val="none"/>
                <w:lang w:val="en-US" w:eastAsia="zh-CN"/>
              </w:rPr>
              <w:t>，每个有效业绩得1分，最高得5分。</w:t>
            </w:r>
          </w:p>
          <w:p w14:paraId="07B17F5A">
            <w:pPr>
              <w:pStyle w:val="2"/>
              <w:ind w:left="-50"/>
              <w:jc w:val="left"/>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注：提供项目合同复印件，未提供则不得分。</w:t>
            </w:r>
          </w:p>
        </w:tc>
      </w:tr>
      <w:tr w14:paraId="6D1E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3F7C6B6">
            <w:pPr>
              <w:spacing w:line="460" w:lineRule="atLeast"/>
              <w:ind w:left="-5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732" w:type="pct"/>
            <w:tcBorders>
              <w:top w:val="single" w:color="auto" w:sz="4" w:space="0"/>
              <w:left w:val="single" w:color="auto" w:sz="4" w:space="0"/>
              <w:bottom w:val="single" w:color="auto" w:sz="4" w:space="0"/>
              <w:right w:val="single" w:color="auto" w:sz="4" w:space="0"/>
            </w:tcBorders>
            <w:vAlign w:val="center"/>
          </w:tcPr>
          <w:p w14:paraId="5EFE6176">
            <w:pPr>
              <w:spacing w:line="460" w:lineRule="atLeast"/>
              <w:ind w:left="-50"/>
              <w:jc w:val="center"/>
              <w:rPr>
                <w:rFonts w:ascii="宋体" w:hAnsi="宋体" w:cs="宋体"/>
                <w:color w:val="auto"/>
                <w:sz w:val="22"/>
                <w:szCs w:val="22"/>
                <w:highlight w:val="none"/>
              </w:rPr>
            </w:pPr>
            <w:r>
              <w:rPr>
                <w:rFonts w:hint="eastAsia" w:ascii="宋体" w:hAnsi="宋体" w:cs="宋体"/>
                <w:color w:val="auto"/>
                <w:sz w:val="22"/>
                <w:szCs w:val="22"/>
                <w:highlight w:val="none"/>
              </w:rPr>
              <w:t>编制工作技术路线和方法</w:t>
            </w:r>
          </w:p>
        </w:tc>
        <w:tc>
          <w:tcPr>
            <w:tcW w:w="595" w:type="pct"/>
            <w:tcBorders>
              <w:top w:val="single" w:color="auto" w:sz="4" w:space="0"/>
              <w:left w:val="single" w:color="auto" w:sz="4" w:space="0"/>
              <w:bottom w:val="single" w:color="auto" w:sz="4" w:space="0"/>
              <w:right w:val="single" w:color="auto" w:sz="4" w:space="0"/>
            </w:tcBorders>
            <w:vAlign w:val="center"/>
          </w:tcPr>
          <w:p w14:paraId="21DC5B47">
            <w:pPr>
              <w:spacing w:line="460" w:lineRule="atLeast"/>
              <w:jc w:val="center"/>
              <w:rPr>
                <w:rFonts w:ascii="宋体" w:hAnsi="宋体" w:cs="宋体"/>
                <w:color w:val="auto"/>
                <w:sz w:val="22"/>
                <w:szCs w:val="22"/>
                <w:highlight w:val="none"/>
              </w:rPr>
            </w:pPr>
            <w:r>
              <w:rPr>
                <w:rFonts w:hint="default" w:ascii="宋体" w:hAnsi="宋体" w:cs="宋体"/>
                <w:color w:val="auto"/>
                <w:sz w:val="22"/>
                <w:szCs w:val="22"/>
                <w:highlight w:val="none"/>
                <w:lang w:val="en-US"/>
              </w:rPr>
              <w:t>3</w:t>
            </w:r>
            <w:r>
              <w:rPr>
                <w:rFonts w:hint="eastAsia" w:ascii="宋体" w:hAnsi="宋体" w:cs="宋体"/>
                <w:color w:val="auto"/>
                <w:sz w:val="22"/>
                <w:szCs w:val="22"/>
                <w:highlight w:val="none"/>
              </w:rPr>
              <w:t>分</w:t>
            </w:r>
          </w:p>
        </w:tc>
        <w:tc>
          <w:tcPr>
            <w:tcW w:w="3307" w:type="pct"/>
            <w:tcBorders>
              <w:top w:val="single" w:color="auto" w:sz="4" w:space="0"/>
              <w:left w:val="single" w:color="auto" w:sz="4" w:space="0"/>
              <w:bottom w:val="single" w:color="auto" w:sz="4" w:space="0"/>
              <w:right w:val="single" w:color="auto" w:sz="4" w:space="0"/>
            </w:tcBorders>
            <w:vAlign w:val="center"/>
          </w:tcPr>
          <w:p w14:paraId="28C68D01">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根据投标人提出技术路线合理准确性、方法可行性，提出的主要工作内容全面性、框架完整性、符合相关规范要求程度，由评委综合比较打分。</w:t>
            </w:r>
          </w:p>
          <w:p w14:paraId="1964ABC3">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A档【3-2分）；B档【2-1）分；C档【1-0】分。</w:t>
            </w:r>
          </w:p>
          <w:p w14:paraId="7286DDAA">
            <w:pPr>
              <w:spacing w:line="460" w:lineRule="atLeast"/>
              <w:ind w:left="0"/>
              <w:jc w:val="left"/>
              <w:rPr>
                <w:rFonts w:ascii="宋体" w:hAnsi="宋体" w:cs="宋体"/>
                <w:color w:val="auto"/>
                <w:sz w:val="22"/>
                <w:szCs w:val="22"/>
                <w:highlight w:val="none"/>
              </w:rPr>
            </w:pPr>
            <w:r>
              <w:rPr>
                <w:rFonts w:hint="eastAsia" w:ascii="宋体" w:hAnsi="宋体" w:cs="宋体"/>
                <w:color w:val="auto"/>
                <w:sz w:val="22"/>
                <w:szCs w:val="22"/>
                <w:highlight w:val="none"/>
              </w:rPr>
              <w:t>未提供不得分。</w:t>
            </w:r>
          </w:p>
        </w:tc>
      </w:tr>
      <w:tr w14:paraId="5507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5B37AF72">
            <w:pPr>
              <w:spacing w:line="460" w:lineRule="atLeast"/>
              <w:ind w:left="-5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c>
          <w:tcPr>
            <w:tcW w:w="732" w:type="pct"/>
            <w:tcBorders>
              <w:top w:val="single" w:color="auto" w:sz="4" w:space="0"/>
              <w:left w:val="single" w:color="auto" w:sz="4" w:space="0"/>
              <w:bottom w:val="single" w:color="auto" w:sz="4" w:space="0"/>
              <w:right w:val="single" w:color="auto" w:sz="4" w:space="0"/>
            </w:tcBorders>
            <w:vAlign w:val="center"/>
          </w:tcPr>
          <w:p w14:paraId="4A7C62A0">
            <w:pPr>
              <w:spacing w:line="460" w:lineRule="atLeast"/>
              <w:ind w:left="-50"/>
              <w:jc w:val="center"/>
              <w:rPr>
                <w:rFonts w:ascii="宋体" w:hAnsi="宋体" w:cs="宋体"/>
                <w:color w:val="auto"/>
                <w:sz w:val="22"/>
                <w:szCs w:val="22"/>
                <w:highlight w:val="none"/>
              </w:rPr>
            </w:pPr>
            <w:r>
              <w:rPr>
                <w:rFonts w:hint="eastAsia" w:ascii="宋体" w:hAnsi="宋体" w:cs="宋体"/>
                <w:color w:val="auto"/>
                <w:sz w:val="22"/>
                <w:szCs w:val="22"/>
                <w:highlight w:val="none"/>
              </w:rPr>
              <w:t>对本项目实施过程中重难点分析及应对措施</w:t>
            </w:r>
          </w:p>
        </w:tc>
        <w:tc>
          <w:tcPr>
            <w:tcW w:w="595" w:type="pct"/>
            <w:tcBorders>
              <w:top w:val="single" w:color="auto" w:sz="4" w:space="0"/>
              <w:left w:val="single" w:color="auto" w:sz="4" w:space="0"/>
              <w:bottom w:val="single" w:color="auto" w:sz="4" w:space="0"/>
              <w:right w:val="single" w:color="auto" w:sz="4" w:space="0"/>
            </w:tcBorders>
            <w:vAlign w:val="center"/>
          </w:tcPr>
          <w:p w14:paraId="46043D61">
            <w:pPr>
              <w:spacing w:line="4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tc>
        <w:tc>
          <w:tcPr>
            <w:tcW w:w="3307" w:type="pct"/>
            <w:tcBorders>
              <w:top w:val="single" w:color="auto" w:sz="4" w:space="0"/>
              <w:left w:val="single" w:color="auto" w:sz="4" w:space="0"/>
              <w:bottom w:val="single" w:color="auto" w:sz="4" w:space="0"/>
              <w:right w:val="single" w:color="auto" w:sz="4" w:space="0"/>
            </w:tcBorders>
            <w:vAlign w:val="center"/>
          </w:tcPr>
          <w:p w14:paraId="23E5B034">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根据投标人提出的对本项目实施过程中重难点分析及应对措施，由评委综合比较打分。</w:t>
            </w:r>
          </w:p>
          <w:p w14:paraId="0F4A7E13">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1、对本项目重点难点分析透彻，能提出有效的应对措施，对服务过程中各节点可能出现的防风险有事先预估评判的得【</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3.3</w:t>
            </w:r>
            <w:r>
              <w:rPr>
                <w:rFonts w:hint="eastAsia" w:ascii="宋体" w:hAnsi="宋体" w:cs="宋体"/>
                <w:color w:val="auto"/>
                <w:sz w:val="22"/>
                <w:szCs w:val="22"/>
                <w:highlight w:val="none"/>
              </w:rPr>
              <w:t>）分；</w:t>
            </w:r>
          </w:p>
          <w:p w14:paraId="7DAF7CA0">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2、分析片面，应对措施较为简单，缺乏针对性的得【</w:t>
            </w:r>
            <w:r>
              <w:rPr>
                <w:rFonts w:hint="eastAsia" w:ascii="宋体" w:hAnsi="宋体" w:cs="宋体"/>
                <w:color w:val="auto"/>
                <w:sz w:val="22"/>
                <w:szCs w:val="22"/>
                <w:highlight w:val="none"/>
                <w:lang w:val="en-US" w:eastAsia="zh-CN"/>
              </w:rPr>
              <w:t>3.3</w:t>
            </w: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）分；</w:t>
            </w:r>
          </w:p>
          <w:p w14:paraId="2205788C">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3、应对措施或提出的重点难点与项目无关的得【1</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-0）分。</w:t>
            </w:r>
          </w:p>
          <w:p w14:paraId="234EA998">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未提供不得分。</w:t>
            </w:r>
          </w:p>
        </w:tc>
      </w:tr>
      <w:tr w14:paraId="793E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26E0ECCD">
            <w:pPr>
              <w:spacing w:line="46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732" w:type="pct"/>
            <w:tcBorders>
              <w:top w:val="single" w:color="auto" w:sz="4" w:space="0"/>
              <w:left w:val="single" w:color="auto" w:sz="4" w:space="0"/>
              <w:bottom w:val="single" w:color="auto" w:sz="4" w:space="0"/>
              <w:right w:val="single" w:color="auto" w:sz="4" w:space="0"/>
            </w:tcBorders>
            <w:vAlign w:val="center"/>
          </w:tcPr>
          <w:p w14:paraId="75B6EBEB">
            <w:pPr>
              <w:spacing w:line="460" w:lineRule="atLeast"/>
              <w:ind w:left="-50"/>
              <w:jc w:val="center"/>
              <w:rPr>
                <w:rFonts w:ascii="宋体" w:hAnsi="宋体" w:cs="宋体"/>
                <w:color w:val="auto"/>
                <w:sz w:val="22"/>
                <w:szCs w:val="22"/>
                <w:highlight w:val="none"/>
              </w:rPr>
            </w:pPr>
            <w:r>
              <w:rPr>
                <w:rFonts w:hint="eastAsia" w:ascii="宋体" w:hAnsi="宋体" w:cs="宋体"/>
                <w:color w:val="auto"/>
                <w:sz w:val="22"/>
                <w:szCs w:val="22"/>
                <w:highlight w:val="none"/>
              </w:rPr>
              <w:t>质量保证措施</w:t>
            </w:r>
          </w:p>
        </w:tc>
        <w:tc>
          <w:tcPr>
            <w:tcW w:w="595" w:type="pct"/>
            <w:tcBorders>
              <w:top w:val="single" w:color="auto" w:sz="4" w:space="0"/>
              <w:left w:val="single" w:color="auto" w:sz="4" w:space="0"/>
              <w:bottom w:val="single" w:color="auto" w:sz="4" w:space="0"/>
              <w:right w:val="single" w:color="auto" w:sz="4" w:space="0"/>
            </w:tcBorders>
            <w:vAlign w:val="center"/>
          </w:tcPr>
          <w:p w14:paraId="4A6E5FC6">
            <w:pPr>
              <w:spacing w:line="4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3分</w:t>
            </w:r>
          </w:p>
        </w:tc>
        <w:tc>
          <w:tcPr>
            <w:tcW w:w="3307" w:type="pct"/>
            <w:tcBorders>
              <w:top w:val="single" w:color="auto" w:sz="4" w:space="0"/>
              <w:left w:val="single" w:color="auto" w:sz="4" w:space="0"/>
              <w:bottom w:val="single" w:color="auto" w:sz="4" w:space="0"/>
              <w:right w:val="single" w:color="auto" w:sz="4" w:space="0"/>
            </w:tcBorders>
            <w:vAlign w:val="center"/>
          </w:tcPr>
          <w:p w14:paraId="56E6C72F">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根据投标人提出的质量保证措施</w:t>
            </w:r>
            <w:r>
              <w:rPr>
                <w:rFonts w:hint="eastAsia" w:ascii="宋体" w:hAnsi="宋体" w:cs="宋体"/>
                <w:color w:val="auto"/>
                <w:sz w:val="22"/>
                <w:szCs w:val="22"/>
                <w:highlight w:val="none"/>
                <w:lang w:val="en-US" w:eastAsia="zh-CN"/>
              </w:rPr>
              <w:t>及</w:t>
            </w:r>
            <w:r>
              <w:rPr>
                <w:rFonts w:hint="eastAsia" w:ascii="宋体" w:hAnsi="宋体" w:cs="宋体"/>
                <w:color w:val="auto"/>
                <w:sz w:val="22"/>
                <w:szCs w:val="22"/>
                <w:highlight w:val="none"/>
              </w:rPr>
              <w:t>后续服务保障措施，由评委综合比较打分。</w:t>
            </w:r>
          </w:p>
          <w:p w14:paraId="15AE082A">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1、有制定相应的服务质量保障措施，对服务过程中的关键节点有具体质量控制措施，有相应的人力、物力投入安排，能够确保服务质量的得【3-2）分；</w:t>
            </w:r>
          </w:p>
          <w:p w14:paraId="04287D8C">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2、服务质量保障措施较为简单，对服务过程中的节点有提出基本的质量控制措施的得【2-1）分；</w:t>
            </w:r>
          </w:p>
          <w:p w14:paraId="3F48A268">
            <w:pPr>
              <w:spacing w:line="460" w:lineRule="atLeast"/>
              <w:ind w:left="-50"/>
              <w:jc w:val="left"/>
              <w:rPr>
                <w:rFonts w:ascii="宋体" w:hAnsi="宋体" w:cs="宋体"/>
                <w:color w:val="auto"/>
                <w:sz w:val="22"/>
                <w:szCs w:val="22"/>
                <w:highlight w:val="none"/>
              </w:rPr>
            </w:pPr>
            <w:r>
              <w:rPr>
                <w:rFonts w:hint="eastAsia" w:ascii="宋体" w:hAnsi="宋体" w:cs="宋体"/>
                <w:color w:val="auto"/>
                <w:sz w:val="22"/>
                <w:szCs w:val="22"/>
                <w:highlight w:val="none"/>
              </w:rPr>
              <w:t>3、方案欠缺合理性的得【1-0】分。</w:t>
            </w:r>
          </w:p>
          <w:p w14:paraId="7746DFE0">
            <w:pPr>
              <w:spacing w:line="460" w:lineRule="atLeast"/>
              <w:ind w:left="0"/>
              <w:jc w:val="left"/>
              <w:rPr>
                <w:rFonts w:ascii="宋体" w:hAnsi="宋体" w:cs="宋体"/>
                <w:color w:val="auto"/>
                <w:sz w:val="22"/>
                <w:szCs w:val="22"/>
                <w:highlight w:val="none"/>
              </w:rPr>
            </w:pPr>
            <w:r>
              <w:rPr>
                <w:rFonts w:hint="eastAsia" w:ascii="宋体" w:hAnsi="宋体" w:cs="宋体"/>
                <w:color w:val="auto"/>
                <w:sz w:val="22"/>
                <w:szCs w:val="22"/>
                <w:highlight w:val="none"/>
              </w:rPr>
              <w:t>未提供不得分。</w:t>
            </w:r>
          </w:p>
        </w:tc>
      </w:tr>
      <w:tr w14:paraId="30A7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455F291">
            <w:pPr>
              <w:spacing w:line="460" w:lineRule="atLeast"/>
              <w:ind w:left="-50"/>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732" w:type="pct"/>
            <w:tcBorders>
              <w:top w:val="single" w:color="auto" w:sz="4" w:space="0"/>
              <w:left w:val="single" w:color="auto" w:sz="4" w:space="0"/>
              <w:bottom w:val="single" w:color="auto" w:sz="4" w:space="0"/>
              <w:right w:val="single" w:color="auto" w:sz="4" w:space="0"/>
            </w:tcBorders>
            <w:vAlign w:val="center"/>
          </w:tcPr>
          <w:p w14:paraId="33874F77">
            <w:pPr>
              <w:spacing w:line="460" w:lineRule="atLeast"/>
              <w:ind w:left="-50"/>
              <w:jc w:val="center"/>
              <w:rPr>
                <w:rFonts w:ascii="宋体" w:hAnsi="宋体" w:cs="宋体"/>
                <w:color w:val="auto"/>
                <w:sz w:val="22"/>
                <w:szCs w:val="22"/>
                <w:highlight w:val="none"/>
              </w:rPr>
            </w:pPr>
            <w:r>
              <w:rPr>
                <w:rFonts w:hint="eastAsia" w:ascii="宋体" w:hAnsi="宋体" w:cs="宋体"/>
                <w:color w:val="auto"/>
                <w:sz w:val="22"/>
                <w:szCs w:val="22"/>
                <w:highlight w:val="none"/>
              </w:rPr>
              <w:t>进度保证措施</w:t>
            </w:r>
          </w:p>
        </w:tc>
        <w:tc>
          <w:tcPr>
            <w:tcW w:w="595" w:type="pct"/>
            <w:tcBorders>
              <w:top w:val="single" w:color="auto" w:sz="4" w:space="0"/>
              <w:left w:val="single" w:color="auto" w:sz="4" w:space="0"/>
              <w:bottom w:val="single" w:color="auto" w:sz="4" w:space="0"/>
              <w:right w:val="single" w:color="auto" w:sz="4" w:space="0"/>
            </w:tcBorders>
            <w:vAlign w:val="center"/>
          </w:tcPr>
          <w:p w14:paraId="31E814D6">
            <w:pPr>
              <w:spacing w:line="4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w:t>
            </w:r>
          </w:p>
        </w:tc>
        <w:tc>
          <w:tcPr>
            <w:tcW w:w="3307" w:type="pct"/>
            <w:tcBorders>
              <w:top w:val="single" w:color="auto" w:sz="4" w:space="0"/>
              <w:left w:val="single" w:color="auto" w:sz="4" w:space="0"/>
              <w:bottom w:val="single" w:color="auto" w:sz="4" w:space="0"/>
              <w:right w:val="single" w:color="auto" w:sz="4" w:space="0"/>
            </w:tcBorders>
            <w:vAlign w:val="center"/>
          </w:tcPr>
          <w:p w14:paraId="306F7145">
            <w:pPr>
              <w:spacing w:line="46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投标人承诺60天完成提交环境影响报告书送审稿的，不得分；每提前</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天完成的得1分，本项最高得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w:t>
            </w:r>
          </w:p>
        </w:tc>
      </w:tr>
    </w:tbl>
    <w:p w14:paraId="274AE4A1">
      <w:pPr>
        <w:spacing w:line="440" w:lineRule="exact"/>
        <w:ind w:firstLine="0" w:firstLineChars="0"/>
        <w:rPr>
          <w:rFonts w:hint="eastAsia" w:ascii="宋体" w:hAnsi="宋体" w:cs="宋体"/>
          <w:b/>
          <w:color w:val="auto"/>
          <w:sz w:val="22"/>
          <w:szCs w:val="22"/>
          <w:highlight w:val="none"/>
        </w:rPr>
      </w:pPr>
      <w:r>
        <w:rPr>
          <w:rFonts w:hint="eastAsia" w:ascii="宋体" w:hAnsi="宋体" w:cs="宋体"/>
          <w:b/>
          <w:color w:val="auto"/>
          <w:sz w:val="22"/>
          <w:szCs w:val="22"/>
          <w:highlight w:val="none"/>
        </w:rPr>
        <w:t>注：上述评分表中“(”、“）”不含本数，“[”、“]”包含本数。</w:t>
      </w:r>
    </w:p>
    <w:p w14:paraId="7757D0C1">
      <w:pPr>
        <w:spacing w:line="440" w:lineRule="exact"/>
        <w:ind w:firstLine="442" w:firstLineChars="200"/>
        <w:rPr>
          <w:color w:val="auto"/>
          <w:highlight w:val="none"/>
        </w:rPr>
      </w:pPr>
      <w:r>
        <w:rPr>
          <w:rFonts w:hint="eastAsia" w:ascii="宋体" w:hAnsi="宋体" w:cs="宋体"/>
          <w:b/>
          <w:color w:val="auto"/>
          <w:sz w:val="22"/>
          <w:szCs w:val="22"/>
          <w:highlight w:val="none"/>
        </w:rPr>
        <w:t>2、价格标评分7</w:t>
      </w:r>
      <w:r>
        <w:rPr>
          <w:rFonts w:hint="eastAsia" w:ascii="宋体" w:hAnsi="宋体" w:cs="宋体"/>
          <w:b/>
          <w:color w:val="auto"/>
          <w:sz w:val="22"/>
          <w:szCs w:val="22"/>
          <w:highlight w:val="none"/>
          <w:lang w:val="en-US" w:eastAsia="zh-CN"/>
        </w:rPr>
        <w:t>5</w:t>
      </w:r>
      <w:r>
        <w:rPr>
          <w:rFonts w:hint="eastAsia" w:ascii="宋体" w:hAnsi="宋体" w:cs="宋体"/>
          <w:b/>
          <w:color w:val="auto"/>
          <w:sz w:val="22"/>
          <w:szCs w:val="22"/>
          <w:highlight w:val="none"/>
        </w:rPr>
        <w:t>分</w:t>
      </w:r>
    </w:p>
    <w:p w14:paraId="3E5F5C2B">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2.1评标基准价计算方法：</w:t>
      </w:r>
    </w:p>
    <w:p w14:paraId="4F47DD2B">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A=评标基准价</w:t>
      </w:r>
    </w:p>
    <w:p w14:paraId="689ABC8A">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若除按招标文件规定被否决投标的投标人投标价外,有效投标人数量为5家及以下的，评标基准价为经算术性修正后所有有效投标人投标价的算术平均值；</w:t>
      </w:r>
    </w:p>
    <w:p w14:paraId="0BAC0D7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若除按招标文件规定被否决投标的投标人投标价外，有效投标人数量为5家以上的，则在经算术性修正后所有有效投标人投标价中去掉一个有效最高投标价和一个有效最低投标价后，剩余有效投标人投标价的算术平均值为评标基准价。</w:t>
      </w:r>
    </w:p>
    <w:p w14:paraId="065F6CD0">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2.2价格报价得分计算方法：</w:t>
      </w:r>
    </w:p>
    <w:p w14:paraId="1B9438E5">
      <w:pPr>
        <w:spacing w:line="360" w:lineRule="auto"/>
        <w:ind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 xml:space="preserve">B=各有效投标人的有效投标报价，计算价格分方法如下： </w:t>
      </w:r>
    </w:p>
    <w:p w14:paraId="6C0F6892">
      <w:pPr>
        <w:spacing w:line="360" w:lineRule="auto"/>
        <w:ind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当B≤A时，投标人报价得分=7</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+(B-A)/A×0.</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0×100；</w:t>
      </w:r>
    </w:p>
    <w:p w14:paraId="32C26447">
      <w:pPr>
        <w:spacing w:line="360" w:lineRule="auto"/>
        <w:ind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当B＞A时，投标人报价得分=7</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-(B-A)/A×0.</w:t>
      </w:r>
      <w:r>
        <w:rPr>
          <w:rFonts w:hint="eastAsia" w:ascii="宋体" w:hAnsi="宋体" w:cs="宋体"/>
          <w:color w:val="auto"/>
          <w:sz w:val="22"/>
          <w:szCs w:val="22"/>
          <w:highlight w:val="none"/>
          <w:lang w:val="en-US" w:eastAsia="zh-CN"/>
        </w:rPr>
        <w:t>60</w:t>
      </w:r>
      <w:r>
        <w:rPr>
          <w:rFonts w:hint="eastAsia" w:ascii="宋体" w:hAnsi="宋体" w:cs="宋体"/>
          <w:color w:val="auto"/>
          <w:sz w:val="22"/>
          <w:szCs w:val="22"/>
          <w:highlight w:val="none"/>
        </w:rPr>
        <w:t>×100。</w:t>
      </w:r>
    </w:p>
    <w:p w14:paraId="5FE434C1">
      <w:pPr>
        <w:spacing w:line="44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3、说明</w:t>
      </w:r>
    </w:p>
    <w:p w14:paraId="2F5F4978">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3.1有效投标人的综合得分为商务技术标得分和价格标得分的总和，计算公式为：综合得分=商务技术标得分+价格标得分。</w:t>
      </w:r>
    </w:p>
    <w:p w14:paraId="57E681FD">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3.2本次招标由评标委员会推荐中标候选人，招标人根据评标委员会的推荐结果进行最终确认。</w:t>
      </w:r>
    </w:p>
    <w:bookmarkEnd w:id="82"/>
    <w:bookmarkEnd w:id="83"/>
    <w:p w14:paraId="277D88A8">
      <w:pPr>
        <w:spacing w:line="440" w:lineRule="exact"/>
        <w:ind w:firstLine="440" w:firstLineChars="200"/>
        <w:rPr>
          <w:rFonts w:ascii="宋体" w:hAnsi="宋体" w:cs="宋体"/>
          <w:color w:val="auto"/>
          <w:sz w:val="22"/>
          <w:szCs w:val="22"/>
          <w:highlight w:val="none"/>
        </w:rPr>
      </w:pPr>
      <w:bookmarkStart w:id="84" w:name="_Toc221356967"/>
      <w:bookmarkStart w:id="85" w:name="_Toc221356904"/>
      <w:r>
        <w:rPr>
          <w:rFonts w:hint="eastAsia" w:ascii="宋体" w:hAnsi="宋体" w:cs="宋体"/>
          <w:color w:val="auto"/>
          <w:sz w:val="22"/>
          <w:szCs w:val="22"/>
          <w:highlight w:val="none"/>
        </w:rPr>
        <w:t>3.3评标专家按综合得分由高到低顺序排列，</w:t>
      </w:r>
      <w:r>
        <w:rPr>
          <w:rFonts w:hint="eastAsia" w:ascii="宋体" w:hAnsi="宋体" w:cs="宋体"/>
          <w:b/>
          <w:bCs/>
          <w:color w:val="auto"/>
          <w:sz w:val="22"/>
          <w:szCs w:val="22"/>
          <w:highlight w:val="none"/>
        </w:rPr>
        <w:t>综合得分第一名的投标人</w:t>
      </w:r>
      <w:r>
        <w:rPr>
          <w:rFonts w:hint="eastAsia" w:ascii="宋体" w:hAnsi="宋体" w:cs="宋体"/>
          <w:color w:val="auto"/>
          <w:sz w:val="22"/>
          <w:szCs w:val="22"/>
          <w:highlight w:val="none"/>
        </w:rPr>
        <w:t>作为该项目</w:t>
      </w:r>
      <w:r>
        <w:rPr>
          <w:rFonts w:hint="eastAsia" w:ascii="宋体" w:hAnsi="宋体" w:cs="宋体"/>
          <w:b/>
          <w:bCs/>
          <w:color w:val="auto"/>
          <w:sz w:val="22"/>
          <w:szCs w:val="22"/>
          <w:highlight w:val="none"/>
        </w:rPr>
        <w:t>第一中标候选人</w:t>
      </w:r>
      <w:r>
        <w:rPr>
          <w:rFonts w:hint="eastAsia" w:ascii="宋体" w:hAnsi="宋体" w:cs="宋体"/>
          <w:color w:val="auto"/>
          <w:sz w:val="22"/>
          <w:szCs w:val="22"/>
          <w:highlight w:val="none"/>
        </w:rPr>
        <w:t>，向招标人推荐，并提交评标报告（得分相同投标报价低的排序第一；如果均相同，则抽签决定）。</w:t>
      </w:r>
    </w:p>
    <w:bookmarkEnd w:id="84"/>
    <w:bookmarkEnd w:id="85"/>
    <w:p w14:paraId="784603D0">
      <w:pPr>
        <w:spacing w:line="440" w:lineRule="exact"/>
        <w:ind w:firstLine="442" w:firstLineChars="200"/>
        <w:rPr>
          <w:rFonts w:ascii="宋体" w:hAnsi="宋体" w:cs="宋体"/>
          <w:b/>
          <w:color w:val="auto"/>
          <w:sz w:val="22"/>
          <w:szCs w:val="22"/>
          <w:highlight w:val="none"/>
        </w:rPr>
      </w:pPr>
      <w:bookmarkStart w:id="86" w:name="_Toc50128408"/>
      <w:r>
        <w:rPr>
          <w:rFonts w:hint="eastAsia" w:ascii="宋体" w:hAnsi="宋体" w:cs="宋体"/>
          <w:b/>
          <w:color w:val="auto"/>
          <w:sz w:val="22"/>
          <w:szCs w:val="22"/>
          <w:highlight w:val="none"/>
        </w:rPr>
        <w:t>六、确定中标人</w:t>
      </w:r>
    </w:p>
    <w:p w14:paraId="588CB815">
      <w:pPr>
        <w:wordWrap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评标结束后，招标人将在采购指定信息媒体“浙江海港电子招标采购平台（http://hgdzzb.nbport.com.cn/）、温州港集团有限公司网站（https://www.wzport.com/wzport/wzgzz/sy/index.html）”等网站上发布，公示中标结果。公示期结束，在规定期限内无异议则招标机构将向中标人发出中标通知书。</w:t>
      </w:r>
    </w:p>
    <w:p w14:paraId="316EA1D5">
      <w:pPr>
        <w:spacing w:line="440" w:lineRule="exact"/>
        <w:ind w:firstLine="442" w:firstLineChars="200"/>
        <w:rPr>
          <w:rFonts w:ascii="宋体" w:hAnsi="宋体" w:cs="宋体"/>
          <w:b/>
          <w:color w:val="auto"/>
          <w:sz w:val="22"/>
          <w:szCs w:val="22"/>
          <w:highlight w:val="none"/>
        </w:rPr>
      </w:pPr>
      <w:bookmarkStart w:id="87" w:name="_Toc221356905"/>
      <w:bookmarkStart w:id="88" w:name="_Toc221356968"/>
      <w:r>
        <w:rPr>
          <w:rFonts w:hint="eastAsia" w:ascii="宋体" w:hAnsi="宋体" w:cs="宋体"/>
          <w:b/>
          <w:color w:val="auto"/>
          <w:sz w:val="22"/>
          <w:szCs w:val="22"/>
          <w:highlight w:val="none"/>
        </w:rPr>
        <w:t>七、投标人义务</w:t>
      </w:r>
      <w:bookmarkEnd w:id="87"/>
      <w:bookmarkEnd w:id="88"/>
    </w:p>
    <w:p w14:paraId="4F240E3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投标人应随时接受评标专家的询标，解答包括有关的商务、技术问题等。评标结束，所有评标资料存招标机构备查。</w:t>
      </w:r>
    </w:p>
    <w:p w14:paraId="4D40398D">
      <w:pPr>
        <w:rPr>
          <w:color w:val="auto"/>
          <w:highlight w:val="none"/>
        </w:rPr>
      </w:pPr>
    </w:p>
    <w:p w14:paraId="38450B6B">
      <w:pPr>
        <w:pStyle w:val="22"/>
        <w:rPr>
          <w:color w:val="auto"/>
          <w:highlight w:val="none"/>
        </w:rPr>
      </w:pPr>
      <w:bookmarkStart w:id="89" w:name="_Toc18428"/>
      <w:r>
        <w:rPr>
          <w:rFonts w:hint="eastAsia"/>
          <w:color w:val="auto"/>
          <w:highlight w:val="none"/>
        </w:rPr>
        <w:br w:type="column"/>
      </w:r>
      <w:bookmarkEnd w:id="86"/>
      <w:bookmarkEnd w:id="89"/>
      <w:bookmarkStart w:id="90" w:name="_Toc50128410"/>
      <w:r>
        <w:rPr>
          <w:rFonts w:hint="eastAsia"/>
          <w:color w:val="auto"/>
          <w:highlight w:val="none"/>
        </w:rPr>
        <w:t>第五章  合同主要条款</w:t>
      </w:r>
    </w:p>
    <w:p w14:paraId="4E76EE8E">
      <w:pPr>
        <w:jc w:val="center"/>
        <w:rPr>
          <w:rFonts w:ascii="宋体" w:hAnsi="宋体"/>
          <w:color w:val="auto"/>
          <w:sz w:val="52"/>
          <w:highlight w:val="none"/>
        </w:rPr>
      </w:pPr>
    </w:p>
    <w:p w14:paraId="6D030372">
      <w:pPr>
        <w:jc w:val="center"/>
        <w:rPr>
          <w:rFonts w:ascii="宋体" w:hAnsi="宋体"/>
          <w:color w:val="auto"/>
          <w:sz w:val="52"/>
          <w:highlight w:val="none"/>
        </w:rPr>
      </w:pPr>
    </w:p>
    <w:p w14:paraId="57896A94">
      <w:pPr>
        <w:autoSpaceDE w:val="0"/>
        <w:autoSpaceDN w:val="0"/>
        <w:adjustRightInd w:val="0"/>
        <w:jc w:val="center"/>
        <w:outlineLvl w:val="2"/>
        <w:rPr>
          <w:rFonts w:ascii="宋体" w:hAnsi="宋体" w:cs="宋体"/>
          <w:b/>
          <w:bCs/>
          <w:color w:val="auto"/>
          <w:sz w:val="48"/>
          <w:highlight w:val="none"/>
        </w:rPr>
      </w:pPr>
      <w:bookmarkStart w:id="91" w:name="_Toc36498802"/>
      <w:bookmarkStart w:id="92" w:name="_Toc44945165"/>
      <w:r>
        <w:rPr>
          <w:rFonts w:hint="eastAsia" w:ascii="宋体" w:hAnsi="宋体" w:cs="宋体"/>
          <w:b/>
          <w:bCs/>
          <w:color w:val="auto"/>
          <w:sz w:val="48"/>
          <w:highlight w:val="none"/>
        </w:rPr>
        <w:t>技术咨询合同</w:t>
      </w:r>
      <w:bookmarkEnd w:id="91"/>
      <w:bookmarkEnd w:id="92"/>
    </w:p>
    <w:p w14:paraId="167107AA">
      <w:pPr>
        <w:jc w:val="center"/>
        <w:rPr>
          <w:rFonts w:ascii="宋体" w:hAnsi="宋体"/>
          <w:color w:val="auto"/>
          <w:sz w:val="36"/>
          <w:highlight w:val="none"/>
        </w:rPr>
      </w:pPr>
    </w:p>
    <w:p w14:paraId="2E5CC3AA">
      <w:pPr>
        <w:jc w:val="center"/>
        <w:rPr>
          <w:rFonts w:ascii="宋体" w:hAnsi="宋体"/>
          <w:color w:val="auto"/>
          <w:sz w:val="36"/>
          <w:highlight w:val="none"/>
        </w:rPr>
      </w:pPr>
    </w:p>
    <w:p w14:paraId="1FE49DCB">
      <w:pPr>
        <w:spacing w:line="360" w:lineRule="auto"/>
        <w:rPr>
          <w:rFonts w:ascii="宋体" w:hAnsi="宋体"/>
          <w:color w:val="auto"/>
          <w:sz w:val="32"/>
          <w:szCs w:val="32"/>
          <w:highlight w:val="none"/>
          <w:u w:val="single"/>
        </w:rPr>
      </w:pPr>
      <w:r>
        <w:rPr>
          <w:rFonts w:hint="eastAsia" w:ascii="宋体" w:hAnsi="宋体"/>
          <w:color w:val="auto"/>
          <w:sz w:val="32"/>
          <w:szCs w:val="32"/>
          <w:highlight w:val="none"/>
        </w:rPr>
        <w:t xml:space="preserve">      </w:t>
      </w:r>
      <w:r>
        <w:rPr>
          <w:rFonts w:ascii="宋体" w:hAnsi="宋体"/>
          <w:color w:val="auto"/>
          <w:sz w:val="32"/>
          <w:szCs w:val="32"/>
          <w:highlight w:val="none"/>
        </w:rPr>
        <w:t xml:space="preserve">  </w:t>
      </w:r>
      <w:r>
        <w:rPr>
          <w:rFonts w:hint="eastAsia" w:ascii="宋体" w:hAnsi="宋体"/>
          <w:color w:val="auto"/>
          <w:sz w:val="32"/>
          <w:szCs w:val="32"/>
          <w:highlight w:val="none"/>
        </w:rPr>
        <w:t xml:space="preserve">项目名称： </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p>
    <w:p w14:paraId="645DF11E">
      <w:pPr>
        <w:spacing w:line="360" w:lineRule="auto"/>
        <w:rPr>
          <w:rFonts w:ascii="宋体" w:hAnsi="宋体"/>
          <w:color w:val="auto"/>
          <w:sz w:val="32"/>
          <w:szCs w:val="32"/>
          <w:highlight w:val="none"/>
          <w:u w:val="single"/>
        </w:rPr>
      </w:pPr>
      <w:r>
        <w:rPr>
          <w:rFonts w:hint="eastAsia" w:ascii="宋体" w:hAnsi="宋体"/>
          <w:color w:val="auto"/>
          <w:sz w:val="32"/>
          <w:szCs w:val="32"/>
          <w:highlight w:val="none"/>
        </w:rPr>
        <w:t xml:space="preserve">      委托方（甲方）：</w:t>
      </w:r>
      <w:r>
        <w:rPr>
          <w:rFonts w:hint="eastAsia" w:ascii="宋体" w:hAnsi="宋体"/>
          <w:color w:val="auto"/>
          <w:sz w:val="32"/>
          <w:szCs w:val="32"/>
          <w:highlight w:val="none"/>
          <w:u w:val="single"/>
        </w:rPr>
        <w:t xml:space="preserve">                         </w:t>
      </w:r>
    </w:p>
    <w:p w14:paraId="5724C14A">
      <w:pPr>
        <w:spacing w:line="360" w:lineRule="auto"/>
        <w:rPr>
          <w:rFonts w:ascii="宋体" w:hAnsi="宋体"/>
          <w:color w:val="auto"/>
          <w:sz w:val="32"/>
          <w:szCs w:val="32"/>
          <w:highlight w:val="none"/>
          <w:u w:val="single"/>
        </w:rPr>
      </w:pPr>
      <w:r>
        <w:rPr>
          <w:rFonts w:hint="eastAsia" w:ascii="宋体" w:hAnsi="宋体"/>
          <w:color w:val="auto"/>
          <w:sz w:val="32"/>
          <w:szCs w:val="32"/>
          <w:highlight w:val="none"/>
        </w:rPr>
        <w:t xml:space="preserve">                    </w:t>
      </w:r>
      <w:r>
        <w:rPr>
          <w:rFonts w:ascii="宋体" w:hAnsi="宋体"/>
          <w:color w:val="auto"/>
          <w:sz w:val="32"/>
          <w:szCs w:val="32"/>
          <w:highlight w:val="none"/>
        </w:rPr>
        <w:t xml:space="preserve"> </w:t>
      </w:r>
      <w:r>
        <w:rPr>
          <w:rFonts w:hint="eastAsia" w:ascii="宋体" w:hAnsi="宋体"/>
          <w:color w:val="auto"/>
          <w:sz w:val="32"/>
          <w:szCs w:val="32"/>
          <w:highlight w:val="none"/>
          <w:u w:val="single"/>
        </w:rPr>
        <w:t xml:space="preserve">                         </w:t>
      </w:r>
    </w:p>
    <w:p w14:paraId="00583B8F">
      <w:pPr>
        <w:spacing w:line="360" w:lineRule="auto"/>
        <w:rPr>
          <w:rFonts w:ascii="宋体" w:hAnsi="宋体"/>
          <w:color w:val="auto"/>
          <w:sz w:val="32"/>
          <w:szCs w:val="32"/>
          <w:highlight w:val="none"/>
          <w:u w:val="single"/>
        </w:rPr>
      </w:pPr>
    </w:p>
    <w:p w14:paraId="104C99D9">
      <w:pPr>
        <w:spacing w:line="360" w:lineRule="auto"/>
        <w:rPr>
          <w:rFonts w:ascii="宋体" w:hAnsi="宋体"/>
          <w:color w:val="auto"/>
          <w:sz w:val="32"/>
          <w:szCs w:val="32"/>
          <w:highlight w:val="none"/>
        </w:rPr>
      </w:pPr>
      <w:r>
        <w:rPr>
          <w:rFonts w:hint="eastAsia" w:ascii="宋体" w:hAnsi="宋体"/>
          <w:color w:val="auto"/>
          <w:sz w:val="32"/>
          <w:szCs w:val="32"/>
          <w:highlight w:val="none"/>
        </w:rPr>
        <w:t xml:space="preserve">      受托方（乙方）：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 xml:space="preserve">        </w:t>
      </w:r>
    </w:p>
    <w:p w14:paraId="0324F8ED">
      <w:pPr>
        <w:spacing w:line="360" w:lineRule="auto"/>
        <w:rPr>
          <w:rFonts w:ascii="宋体" w:hAnsi="宋体"/>
          <w:color w:val="auto"/>
          <w:sz w:val="32"/>
          <w:szCs w:val="32"/>
          <w:highlight w:val="none"/>
          <w:u w:val="single"/>
        </w:rPr>
      </w:pPr>
      <w:r>
        <w:rPr>
          <w:rFonts w:hint="eastAsia" w:ascii="宋体" w:hAnsi="宋体"/>
          <w:color w:val="auto"/>
          <w:sz w:val="32"/>
          <w:szCs w:val="32"/>
          <w:highlight w:val="none"/>
        </w:rPr>
        <w:t xml:space="preserve">      </w:t>
      </w:r>
      <w:r>
        <w:rPr>
          <w:rFonts w:ascii="宋体" w:hAnsi="宋体"/>
          <w:color w:val="auto"/>
          <w:sz w:val="32"/>
          <w:szCs w:val="32"/>
          <w:highlight w:val="none"/>
        </w:rPr>
        <w:t xml:space="preserve"> </w:t>
      </w:r>
      <w:r>
        <w:rPr>
          <w:rFonts w:hint="eastAsia" w:ascii="宋体" w:hAnsi="宋体"/>
          <w:color w:val="auto"/>
          <w:sz w:val="32"/>
          <w:szCs w:val="32"/>
          <w:highlight w:val="none"/>
        </w:rPr>
        <w:t xml:space="preserve">              </w:t>
      </w:r>
      <w:r>
        <w:rPr>
          <w:rFonts w:hint="eastAsia" w:ascii="宋体" w:hAnsi="宋体"/>
          <w:color w:val="auto"/>
          <w:sz w:val="32"/>
          <w:szCs w:val="32"/>
          <w:highlight w:val="none"/>
          <w:u w:val="single"/>
        </w:rPr>
        <w:t xml:space="preserve">                         </w:t>
      </w:r>
    </w:p>
    <w:p w14:paraId="1B84F36B">
      <w:pPr>
        <w:spacing w:line="360" w:lineRule="auto"/>
        <w:rPr>
          <w:rFonts w:ascii="宋体" w:hAnsi="宋体"/>
          <w:color w:val="auto"/>
          <w:sz w:val="32"/>
          <w:szCs w:val="32"/>
          <w:highlight w:val="none"/>
          <w:u w:val="single"/>
        </w:rPr>
      </w:pPr>
    </w:p>
    <w:p w14:paraId="5B29F2EE">
      <w:pPr>
        <w:spacing w:line="360" w:lineRule="auto"/>
        <w:rPr>
          <w:rFonts w:ascii="宋体" w:hAnsi="宋体"/>
          <w:color w:val="auto"/>
          <w:sz w:val="32"/>
          <w:szCs w:val="32"/>
          <w:highlight w:val="none"/>
          <w:u w:val="single"/>
        </w:rPr>
      </w:pPr>
      <w:r>
        <w:rPr>
          <w:rFonts w:hint="eastAsia" w:ascii="宋体" w:hAnsi="宋体"/>
          <w:color w:val="auto"/>
          <w:sz w:val="32"/>
          <w:szCs w:val="32"/>
          <w:highlight w:val="none"/>
        </w:rPr>
        <w:t xml:space="preserve">      签订时间：</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p>
    <w:p w14:paraId="5C4FE6E6">
      <w:pPr>
        <w:spacing w:line="360" w:lineRule="auto"/>
        <w:rPr>
          <w:rFonts w:ascii="宋体" w:hAnsi="宋体"/>
          <w:color w:val="auto"/>
          <w:sz w:val="32"/>
          <w:szCs w:val="32"/>
          <w:highlight w:val="none"/>
        </w:rPr>
      </w:pPr>
      <w:r>
        <w:rPr>
          <w:rFonts w:hint="eastAsia" w:ascii="宋体" w:hAnsi="宋体"/>
          <w:color w:val="auto"/>
          <w:sz w:val="32"/>
          <w:szCs w:val="32"/>
          <w:highlight w:val="none"/>
        </w:rPr>
        <w:t xml:space="preserve">      签订地点：</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r>
        <w:rPr>
          <w:rFonts w:hint="eastAsia" w:ascii="宋体" w:hAnsi="宋体"/>
          <w:color w:val="auto"/>
          <w:sz w:val="32"/>
          <w:szCs w:val="32"/>
          <w:highlight w:val="none"/>
        </w:rPr>
        <w:t xml:space="preserve">    </w:t>
      </w:r>
    </w:p>
    <w:p w14:paraId="62E110A5">
      <w:pPr>
        <w:spacing w:line="360" w:lineRule="auto"/>
        <w:rPr>
          <w:rFonts w:ascii="宋体" w:hAnsi="宋体"/>
          <w:color w:val="auto"/>
          <w:sz w:val="32"/>
          <w:szCs w:val="32"/>
          <w:highlight w:val="none"/>
          <w:u w:val="single"/>
        </w:rPr>
      </w:pPr>
      <w:r>
        <w:rPr>
          <w:rFonts w:hint="eastAsia" w:ascii="宋体" w:hAnsi="宋体"/>
          <w:color w:val="auto"/>
          <w:sz w:val="32"/>
          <w:szCs w:val="32"/>
          <w:highlight w:val="none"/>
        </w:rPr>
        <w:t xml:space="preserve">      </w:t>
      </w:r>
      <w:r>
        <w:rPr>
          <w:rFonts w:hint="eastAsia" w:ascii="宋体" w:hAnsi="宋体"/>
          <w:color w:val="auto"/>
          <w:sz w:val="32"/>
          <w:szCs w:val="32"/>
          <w:highlight w:val="none"/>
          <w:lang w:val="en-US" w:eastAsia="zh-CN"/>
        </w:rPr>
        <w:t>履行</w:t>
      </w:r>
      <w:r>
        <w:rPr>
          <w:rFonts w:hint="eastAsia" w:ascii="宋体" w:hAnsi="宋体"/>
          <w:color w:val="auto"/>
          <w:sz w:val="32"/>
          <w:szCs w:val="32"/>
          <w:highlight w:val="none"/>
        </w:rPr>
        <w:t>期限：</w:t>
      </w:r>
      <w:r>
        <w:rPr>
          <w:rFonts w:hint="eastAsia" w:ascii="宋体" w:hAnsi="宋体"/>
          <w:color w:val="auto"/>
          <w:sz w:val="32"/>
          <w:szCs w:val="32"/>
          <w:highlight w:val="none"/>
          <w:u w:val="single"/>
        </w:rPr>
        <w:t xml:space="preserve">                              </w:t>
      </w:r>
    </w:p>
    <w:p w14:paraId="317E2E5A">
      <w:pPr>
        <w:jc w:val="center"/>
        <w:rPr>
          <w:rFonts w:ascii="宋体" w:hAnsi="宋体"/>
          <w:color w:val="auto"/>
          <w:sz w:val="30"/>
          <w:highlight w:val="none"/>
        </w:rPr>
      </w:pPr>
    </w:p>
    <w:p w14:paraId="791AFF46">
      <w:pPr>
        <w:jc w:val="center"/>
        <w:rPr>
          <w:rFonts w:ascii="宋体" w:hAnsi="宋体"/>
          <w:color w:val="auto"/>
          <w:sz w:val="36"/>
          <w:highlight w:val="none"/>
        </w:rPr>
      </w:pPr>
      <w:r>
        <w:rPr>
          <w:rFonts w:hint="eastAsia" w:ascii="宋体" w:hAnsi="宋体"/>
          <w:color w:val="auto"/>
          <w:sz w:val="36"/>
          <w:highlight w:val="none"/>
        </w:rPr>
        <w:t>中华人民共和国科学技术部印制</w:t>
      </w:r>
    </w:p>
    <w:p w14:paraId="667D54F0">
      <w:pPr>
        <w:jc w:val="center"/>
        <w:rPr>
          <w:rFonts w:ascii="宋体" w:hAnsi="宋体"/>
          <w:color w:val="auto"/>
          <w:sz w:val="30"/>
          <w:highlight w:val="none"/>
        </w:rPr>
      </w:pPr>
    </w:p>
    <w:p w14:paraId="56370CA5">
      <w:pPr>
        <w:jc w:val="center"/>
        <w:rPr>
          <w:rFonts w:ascii="宋体" w:hAnsi="宋体"/>
          <w:color w:val="auto"/>
          <w:sz w:val="30"/>
          <w:highlight w:val="none"/>
        </w:rPr>
      </w:pPr>
      <w:r>
        <w:rPr>
          <w:rFonts w:ascii="宋体" w:hAnsi="宋体"/>
          <w:color w:val="auto"/>
          <w:sz w:val="30"/>
          <w:highlight w:val="none"/>
        </w:rPr>
        <w:br w:type="page"/>
      </w:r>
    </w:p>
    <w:p w14:paraId="6D0EE419">
      <w:pPr>
        <w:jc w:val="center"/>
        <w:rPr>
          <w:rFonts w:ascii="宋体" w:hAnsi="宋体"/>
          <w:color w:val="auto"/>
          <w:sz w:val="44"/>
          <w:highlight w:val="none"/>
        </w:rPr>
      </w:pPr>
      <w:r>
        <w:rPr>
          <w:rFonts w:hint="eastAsia" w:ascii="宋体" w:hAnsi="宋体"/>
          <w:color w:val="auto"/>
          <w:sz w:val="44"/>
          <w:highlight w:val="none"/>
        </w:rPr>
        <w:t>技术咨询合同</w:t>
      </w:r>
    </w:p>
    <w:p w14:paraId="03BDECC5">
      <w:pPr>
        <w:jc w:val="center"/>
        <w:rPr>
          <w:rFonts w:ascii="宋体" w:hAnsi="宋体"/>
          <w:color w:val="auto"/>
          <w:szCs w:val="21"/>
          <w:highlight w:val="none"/>
        </w:rPr>
      </w:pPr>
    </w:p>
    <w:p w14:paraId="3D88D82F">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委托方（甲方）：</w:t>
      </w:r>
      <w:r>
        <w:rPr>
          <w:rFonts w:hint="eastAsia" w:ascii="宋体" w:hAnsi="宋体"/>
          <w:color w:val="auto"/>
          <w:szCs w:val="21"/>
          <w:highlight w:val="none"/>
          <w:u w:val="single"/>
        </w:rPr>
        <w:t xml:space="preserve">                                     </w:t>
      </w:r>
    </w:p>
    <w:p w14:paraId="4F04E265">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住  所  地：</w:t>
      </w:r>
      <w:r>
        <w:rPr>
          <w:rFonts w:hint="eastAsia" w:ascii="宋体" w:hAnsi="宋体"/>
          <w:color w:val="auto"/>
          <w:szCs w:val="21"/>
          <w:highlight w:val="none"/>
          <w:u w:val="single"/>
        </w:rPr>
        <w:t xml:space="preserve">                                      </w:t>
      </w:r>
    </w:p>
    <w:p w14:paraId="12ADEA2F">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14:paraId="09E887F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联系方式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4BD19A0">
      <w:pPr>
        <w:pStyle w:val="29"/>
        <w:ind w:firstLine="400"/>
        <w:rPr>
          <w:rFonts w:ascii="宋体" w:hAnsi="宋体"/>
          <w:color w:val="auto"/>
          <w:szCs w:val="21"/>
          <w:highlight w:val="none"/>
        </w:rPr>
      </w:pPr>
    </w:p>
    <w:p w14:paraId="239EC1D0">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受托方（乙方）：</w:t>
      </w:r>
      <w:r>
        <w:rPr>
          <w:rFonts w:hint="eastAsia" w:ascii="宋体" w:hAnsi="宋体"/>
          <w:color w:val="auto"/>
          <w:szCs w:val="21"/>
          <w:highlight w:val="none"/>
          <w:u w:val="single"/>
        </w:rPr>
        <w:t xml:space="preserve">                                     </w:t>
      </w:r>
    </w:p>
    <w:p w14:paraId="07CF8212">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住  所  地：</w:t>
      </w:r>
      <w:r>
        <w:rPr>
          <w:rFonts w:hint="eastAsia" w:ascii="宋体" w:hAnsi="宋体"/>
          <w:color w:val="auto"/>
          <w:szCs w:val="21"/>
          <w:highlight w:val="none"/>
          <w:u w:val="single"/>
        </w:rPr>
        <w:t xml:space="preserve">                                      </w:t>
      </w:r>
    </w:p>
    <w:p w14:paraId="6B06F282">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14:paraId="6A76E34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联系方式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42EA74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本合同由甲方委托乙方就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zh-CN"/>
        </w:rPr>
        <w:t>温州港乐清湾港区A区一期集装箱能力提升工程环境影响评价</w:t>
      </w:r>
      <w:r>
        <w:rPr>
          <w:rFonts w:hint="eastAsia" w:ascii="宋体" w:hAnsi="宋体" w:cs="宋体"/>
          <w:b/>
          <w:bCs/>
          <w:color w:val="auto"/>
          <w:kern w:val="0"/>
          <w:szCs w:val="21"/>
          <w:highlight w:val="none"/>
          <w:u w:val="single"/>
        </w:rPr>
        <w:t xml:space="preserve"> </w:t>
      </w:r>
      <w:r>
        <w:rPr>
          <w:rFonts w:hint="eastAsia" w:ascii="宋体" w:hAnsi="宋体"/>
          <w:color w:val="auto"/>
          <w:szCs w:val="21"/>
          <w:highlight w:val="none"/>
        </w:rPr>
        <w:t>进行技术咨询，并支付咨询报酬。双方经过平等协商，在真实、充分地表达各自意愿的基础上，根据《中华人民共和国民法典》的规定，达成如下协议，并由双方共同恪守。</w:t>
      </w:r>
    </w:p>
    <w:p w14:paraId="0F0AADA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第一条：乙方进行技术咨询的内容、要求和方式：</w:t>
      </w:r>
    </w:p>
    <w:p w14:paraId="2753927F">
      <w:pPr>
        <w:spacing w:line="460" w:lineRule="exact"/>
        <w:ind w:firstLine="420" w:firstLineChars="200"/>
        <w:rPr>
          <w:rFonts w:ascii="宋体" w:hAnsi="宋体"/>
          <w:b/>
          <w:color w:val="auto"/>
          <w:szCs w:val="21"/>
          <w:highlight w:val="none"/>
          <w:u w:val="single"/>
        </w:rPr>
      </w:pPr>
      <w:r>
        <w:rPr>
          <w:rFonts w:hint="eastAsia" w:ascii="宋体" w:hAnsi="宋体"/>
          <w:color w:val="auto"/>
          <w:szCs w:val="21"/>
          <w:highlight w:val="none"/>
        </w:rPr>
        <w:t>1．咨询内容：</w:t>
      </w:r>
      <w:r>
        <w:rPr>
          <w:rFonts w:hint="eastAsia" w:ascii="宋体" w:hAnsi="宋体"/>
          <w:b/>
          <w:bCs/>
          <w:color w:val="auto"/>
          <w:szCs w:val="21"/>
          <w:highlight w:val="none"/>
        </w:rPr>
        <w:t>（1）严格依据国家和地方相关的技术规范等，开展</w:t>
      </w:r>
      <w:r>
        <w:rPr>
          <w:rFonts w:hint="eastAsia" w:ascii="宋体" w:hAnsi="宋体"/>
          <w:b/>
          <w:bCs/>
          <w:color w:val="auto"/>
          <w:szCs w:val="21"/>
          <w:highlight w:val="none"/>
          <w:lang w:eastAsia="zh-CN"/>
        </w:rPr>
        <w:t>温州港乐清湾港区A区一期集装箱能力提升工程环境影响评价</w:t>
      </w:r>
      <w:r>
        <w:rPr>
          <w:rFonts w:hint="eastAsia" w:ascii="宋体" w:hAnsi="宋体"/>
          <w:b/>
          <w:bCs/>
          <w:color w:val="auto"/>
          <w:szCs w:val="21"/>
          <w:highlight w:val="none"/>
          <w:lang w:val="en-US" w:eastAsia="zh-CN"/>
        </w:rPr>
        <w:t>工作</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含</w:t>
      </w:r>
      <w:r>
        <w:rPr>
          <w:rFonts w:hint="eastAsia" w:ascii="宋体" w:hAnsi="宋体"/>
          <w:b/>
          <w:bCs/>
          <w:color w:val="auto"/>
          <w:szCs w:val="21"/>
          <w:highlight w:val="none"/>
        </w:rPr>
        <w:t>环境现状资料调查或收集、海洋调查（现状监测）、环境影响报告书编制、数值模拟预测专题、陆域环境监测；（2）编制的环境影响报告书通过专家审查，协助</w:t>
      </w:r>
      <w:r>
        <w:rPr>
          <w:rFonts w:hint="eastAsia" w:ascii="宋体" w:hAnsi="宋体"/>
          <w:b/>
          <w:bCs/>
          <w:color w:val="auto"/>
          <w:szCs w:val="21"/>
          <w:highlight w:val="none"/>
          <w:lang w:val="en-US" w:eastAsia="zh-CN"/>
        </w:rPr>
        <w:t>甲方</w:t>
      </w:r>
      <w:r>
        <w:rPr>
          <w:rFonts w:hint="eastAsia" w:ascii="宋体" w:hAnsi="宋体"/>
          <w:b/>
          <w:bCs/>
          <w:color w:val="auto"/>
          <w:szCs w:val="21"/>
          <w:highlight w:val="none"/>
        </w:rPr>
        <w:t>取得</w:t>
      </w:r>
      <w:r>
        <w:rPr>
          <w:rFonts w:hint="eastAsia" w:ascii="宋体" w:hAnsi="宋体"/>
          <w:b/>
          <w:bCs/>
          <w:color w:val="auto"/>
          <w:szCs w:val="21"/>
          <w:highlight w:val="none"/>
          <w:lang w:val="en-US" w:eastAsia="zh-CN"/>
        </w:rPr>
        <w:t>生态环境主管部门出具的</w:t>
      </w:r>
      <w:r>
        <w:rPr>
          <w:rFonts w:hint="eastAsia" w:ascii="宋体" w:hAnsi="宋体"/>
          <w:b/>
          <w:bCs/>
          <w:color w:val="auto"/>
          <w:szCs w:val="21"/>
          <w:highlight w:val="none"/>
        </w:rPr>
        <w:t>环境影响审批意见</w:t>
      </w:r>
      <w:r>
        <w:rPr>
          <w:rFonts w:hint="eastAsia" w:ascii="宋体" w:hAnsi="宋体"/>
          <w:b/>
          <w:color w:val="auto"/>
          <w:szCs w:val="21"/>
          <w:highlight w:val="none"/>
          <w:u w:val="none"/>
        </w:rPr>
        <w:t>。</w:t>
      </w:r>
    </w:p>
    <w:p w14:paraId="191C826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2．咨询要求：</w:t>
      </w:r>
      <w:r>
        <w:rPr>
          <w:rFonts w:hint="eastAsia" w:ascii="宋体" w:hAnsi="宋体"/>
          <w:b/>
          <w:color w:val="auto"/>
          <w:szCs w:val="21"/>
          <w:highlight w:val="none"/>
          <w:u w:val="single"/>
        </w:rPr>
        <w:t>相关技术咨询成果内容完整、准确、有效且符合国家相应的规范、标准要求。</w:t>
      </w:r>
      <w:r>
        <w:rPr>
          <w:rFonts w:ascii="宋体" w:hAnsi="宋体"/>
          <w:color w:val="auto"/>
          <w:szCs w:val="21"/>
          <w:highlight w:val="none"/>
        </w:rPr>
        <w:t xml:space="preserve"> </w:t>
      </w:r>
    </w:p>
    <w:p w14:paraId="0CD877B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3．咨询方式：</w:t>
      </w:r>
      <w:r>
        <w:rPr>
          <w:rFonts w:hint="eastAsia" w:ascii="宋体" w:hAnsi="宋体"/>
          <w:b/>
          <w:color w:val="auto"/>
          <w:szCs w:val="21"/>
          <w:highlight w:val="none"/>
          <w:u w:val="single"/>
        </w:rPr>
        <w:t>编制环境影响</w:t>
      </w:r>
      <w:r>
        <w:rPr>
          <w:rFonts w:ascii="宋体" w:hAnsi="宋体"/>
          <w:b/>
          <w:color w:val="auto"/>
          <w:szCs w:val="21"/>
          <w:highlight w:val="none"/>
          <w:u w:val="single"/>
        </w:rPr>
        <w:t>报告</w:t>
      </w:r>
      <w:r>
        <w:rPr>
          <w:rFonts w:hint="eastAsia" w:ascii="宋体" w:hAnsi="宋体"/>
          <w:b/>
          <w:color w:val="auto"/>
          <w:szCs w:val="21"/>
          <w:highlight w:val="none"/>
          <w:u w:val="single"/>
        </w:rPr>
        <w:t>书，协助组织报告书审查，负责会务工作并承担评审会务等相关费用，协助甲方取得环境影响审批意见。</w:t>
      </w:r>
    </w:p>
    <w:p w14:paraId="0932DB83">
      <w:pPr>
        <w:autoSpaceDE w:val="0"/>
        <w:autoSpaceDN w:val="0"/>
        <w:adjustRightIn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第二条：乙方应当按照下列进度要求进行本合同项目的技术咨询工作：</w:t>
      </w:r>
    </w:p>
    <w:p w14:paraId="12564B08">
      <w:pPr>
        <w:spacing w:line="46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合同签订后</w:t>
      </w:r>
      <w:r>
        <w:rPr>
          <w:rFonts w:hint="eastAsia" w:ascii="宋体" w:hAnsi="宋体"/>
          <w:b/>
          <w:bCs/>
          <w:color w:val="auto"/>
          <w:szCs w:val="21"/>
          <w:highlight w:val="none"/>
          <w:lang w:eastAsia="zh-CN"/>
        </w:rPr>
        <w:t xml:space="preserve"> </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天内提交环境影响报告书送审稿，</w:t>
      </w:r>
      <w:r>
        <w:rPr>
          <w:rFonts w:hint="eastAsia" w:ascii="宋体" w:hAnsi="宋体"/>
          <w:b/>
          <w:bCs/>
          <w:color w:val="auto"/>
          <w:szCs w:val="21"/>
          <w:highlight w:val="none"/>
          <w:lang w:val="en-US" w:eastAsia="zh-CN"/>
        </w:rPr>
        <w:t>送审稿</w:t>
      </w:r>
      <w:r>
        <w:rPr>
          <w:rFonts w:hint="eastAsia" w:ascii="宋体" w:hAnsi="宋体"/>
          <w:b/>
          <w:bCs/>
          <w:color w:val="auto"/>
          <w:szCs w:val="21"/>
          <w:highlight w:val="none"/>
        </w:rPr>
        <w:t>经过专家评审</w:t>
      </w:r>
      <w:r>
        <w:rPr>
          <w:rFonts w:hint="eastAsia" w:ascii="宋体" w:hAnsi="宋体"/>
          <w:b/>
          <w:bCs/>
          <w:color w:val="auto"/>
          <w:szCs w:val="21"/>
          <w:highlight w:val="none"/>
          <w:lang w:val="en-US" w:eastAsia="zh-CN"/>
        </w:rPr>
        <w:t>及</w:t>
      </w:r>
      <w:r>
        <w:rPr>
          <w:rFonts w:hint="eastAsia" w:ascii="宋体" w:hAnsi="宋体"/>
          <w:b/>
          <w:bCs/>
          <w:color w:val="auto"/>
          <w:szCs w:val="21"/>
          <w:highlight w:val="none"/>
        </w:rPr>
        <w:t>公示结束后7天内提交报批稿</w:t>
      </w:r>
      <w:r>
        <w:rPr>
          <w:rFonts w:hint="eastAsia" w:ascii="宋体" w:hAnsi="宋体"/>
          <w:b/>
          <w:bCs/>
          <w:color w:val="auto"/>
          <w:szCs w:val="21"/>
          <w:highlight w:val="none"/>
          <w:lang w:eastAsia="zh-CN"/>
        </w:rPr>
        <w:t>，</w:t>
      </w:r>
      <w:r>
        <w:rPr>
          <w:rFonts w:hint="eastAsia" w:ascii="宋体" w:hAnsi="宋体"/>
          <w:b/>
          <w:bCs/>
          <w:color w:val="auto"/>
          <w:szCs w:val="21"/>
          <w:highlight w:val="none"/>
        </w:rPr>
        <w:t>并协助</w:t>
      </w:r>
      <w:r>
        <w:rPr>
          <w:rFonts w:hint="eastAsia" w:ascii="宋体" w:hAnsi="宋体"/>
          <w:b/>
          <w:bCs/>
          <w:color w:val="auto"/>
          <w:szCs w:val="21"/>
          <w:highlight w:val="none"/>
          <w:lang w:val="en-US" w:eastAsia="zh-CN"/>
        </w:rPr>
        <w:t>甲方</w:t>
      </w:r>
      <w:r>
        <w:rPr>
          <w:rFonts w:hint="eastAsia" w:ascii="宋体" w:hAnsi="宋体"/>
          <w:b/>
          <w:bCs/>
          <w:color w:val="auto"/>
          <w:szCs w:val="21"/>
          <w:highlight w:val="none"/>
        </w:rPr>
        <w:t>完成相关报批工作。报批稿</w:t>
      </w:r>
      <w:r>
        <w:rPr>
          <w:rFonts w:hint="eastAsia" w:ascii="宋体" w:hAnsi="宋体"/>
          <w:b/>
          <w:bCs/>
          <w:color w:val="auto"/>
          <w:szCs w:val="21"/>
          <w:highlight w:val="none"/>
          <w:lang w:val="en-US" w:eastAsia="zh-CN"/>
        </w:rPr>
        <w:t>经</w:t>
      </w:r>
      <w:r>
        <w:rPr>
          <w:rFonts w:hint="eastAsia" w:ascii="宋体" w:hAnsi="宋体"/>
          <w:b/>
          <w:bCs/>
          <w:color w:val="auto"/>
          <w:szCs w:val="21"/>
          <w:highlight w:val="none"/>
        </w:rPr>
        <w:t>主管部门审批</w:t>
      </w:r>
      <w:r>
        <w:rPr>
          <w:rFonts w:hint="eastAsia" w:ascii="宋体" w:hAnsi="宋体"/>
          <w:b/>
          <w:bCs/>
          <w:color w:val="auto"/>
          <w:szCs w:val="21"/>
          <w:highlight w:val="none"/>
          <w:lang w:val="en-US" w:eastAsia="zh-CN"/>
        </w:rPr>
        <w:t>同意后</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乙方</w:t>
      </w:r>
      <w:r>
        <w:rPr>
          <w:rFonts w:hint="eastAsia" w:ascii="宋体" w:hAnsi="宋体"/>
          <w:b/>
          <w:bCs/>
          <w:color w:val="auto"/>
          <w:szCs w:val="21"/>
          <w:highlight w:val="none"/>
        </w:rPr>
        <w:t>免费提供后续技术服务支持直至工程</w:t>
      </w:r>
      <w:r>
        <w:rPr>
          <w:rFonts w:hint="eastAsia" w:ascii="宋体" w:hAnsi="宋体"/>
          <w:b/>
          <w:bCs/>
          <w:color w:val="auto"/>
          <w:szCs w:val="21"/>
          <w:highlight w:val="none"/>
          <w:lang w:val="en-US" w:eastAsia="zh-CN"/>
        </w:rPr>
        <w:t>竣工</w:t>
      </w:r>
      <w:r>
        <w:rPr>
          <w:rFonts w:hint="eastAsia" w:ascii="宋体" w:hAnsi="宋体"/>
          <w:b/>
          <w:bCs/>
          <w:color w:val="auto"/>
          <w:szCs w:val="21"/>
          <w:highlight w:val="none"/>
        </w:rPr>
        <w:t>，具体</w:t>
      </w:r>
      <w:r>
        <w:rPr>
          <w:rFonts w:hint="eastAsia" w:ascii="宋体" w:hAnsi="宋体"/>
          <w:b/>
          <w:bCs/>
          <w:color w:val="auto"/>
          <w:szCs w:val="21"/>
          <w:highlight w:val="none"/>
          <w:lang w:val="en-US" w:eastAsia="zh-CN"/>
        </w:rPr>
        <w:t>服务</w:t>
      </w:r>
      <w:r>
        <w:rPr>
          <w:rFonts w:hint="eastAsia" w:ascii="宋体" w:hAnsi="宋体"/>
          <w:b/>
          <w:bCs/>
          <w:color w:val="auto"/>
          <w:szCs w:val="21"/>
          <w:highlight w:val="none"/>
        </w:rPr>
        <w:t>时间根据</w:t>
      </w:r>
      <w:r>
        <w:rPr>
          <w:rFonts w:hint="eastAsia" w:ascii="宋体" w:hAnsi="宋体"/>
          <w:b/>
          <w:bCs/>
          <w:color w:val="auto"/>
          <w:szCs w:val="21"/>
          <w:highlight w:val="none"/>
          <w:lang w:val="en-US" w:eastAsia="zh-CN"/>
        </w:rPr>
        <w:t>甲方</w:t>
      </w:r>
      <w:r>
        <w:rPr>
          <w:rFonts w:hint="eastAsia" w:ascii="宋体" w:hAnsi="宋体"/>
          <w:b/>
          <w:bCs/>
          <w:color w:val="auto"/>
          <w:szCs w:val="21"/>
          <w:highlight w:val="none"/>
        </w:rPr>
        <w:t>实际工作</w:t>
      </w:r>
      <w:r>
        <w:rPr>
          <w:rFonts w:hint="eastAsia" w:ascii="宋体" w:hAnsi="宋体"/>
          <w:b/>
          <w:bCs/>
          <w:color w:val="auto"/>
          <w:szCs w:val="21"/>
          <w:highlight w:val="none"/>
          <w:lang w:val="en-US" w:eastAsia="zh-CN"/>
        </w:rPr>
        <w:t>安排</w:t>
      </w:r>
      <w:r>
        <w:rPr>
          <w:rFonts w:hint="eastAsia" w:ascii="宋体" w:hAnsi="宋体"/>
          <w:b/>
          <w:bCs/>
          <w:color w:val="auto"/>
          <w:szCs w:val="21"/>
          <w:highlight w:val="none"/>
        </w:rPr>
        <w:t>确定。</w:t>
      </w:r>
    </w:p>
    <w:p w14:paraId="3D7394E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第三条：为保证乙方有效进行技术咨询工作，甲方应当向乙方提供下列协作事项：</w:t>
      </w:r>
    </w:p>
    <w:p w14:paraId="665505F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1．提供技术资料：</w:t>
      </w:r>
      <w:r>
        <w:rPr>
          <w:rFonts w:hint="eastAsia" w:ascii="宋体" w:hAnsi="宋体"/>
          <w:b/>
          <w:color w:val="auto"/>
          <w:szCs w:val="21"/>
          <w:highlight w:val="none"/>
          <w:u w:val="single"/>
        </w:rPr>
        <w:t>提供本项目相关的工程可行性研究、工程地勘资料、其他相关基础性资料、以及与本工程技术服务有关的政府批文</w:t>
      </w:r>
      <w:r>
        <w:rPr>
          <w:rFonts w:hint="eastAsia" w:ascii="宋体" w:hAnsi="宋体"/>
          <w:color w:val="auto"/>
          <w:szCs w:val="21"/>
          <w:highlight w:val="none"/>
        </w:rPr>
        <w:t>。</w:t>
      </w:r>
    </w:p>
    <w:p w14:paraId="674C3B9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2．提供工作条件：</w:t>
      </w:r>
    </w:p>
    <w:p w14:paraId="63B57EA9">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s="宋体"/>
          <w:b/>
          <w:color w:val="auto"/>
          <w:szCs w:val="21"/>
          <w:highlight w:val="none"/>
          <w:u w:val="single"/>
        </w:rPr>
        <w:t>协助乙方开展调查和资料收集</w:t>
      </w:r>
      <w:r>
        <w:rPr>
          <w:rFonts w:hint="eastAsia" w:ascii="宋体" w:hAnsi="宋体" w:cs="宋体"/>
          <w:b/>
          <w:color w:val="auto"/>
          <w:szCs w:val="21"/>
          <w:highlight w:val="none"/>
        </w:rPr>
        <w:t>；</w:t>
      </w:r>
      <w:r>
        <w:rPr>
          <w:rFonts w:hint="eastAsia" w:ascii="宋体" w:hAnsi="宋体"/>
          <w:color w:val="auto"/>
          <w:szCs w:val="21"/>
          <w:highlight w:val="none"/>
        </w:rPr>
        <w:t xml:space="preserve"> </w:t>
      </w:r>
    </w:p>
    <w:p w14:paraId="17678C0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s="宋体"/>
          <w:b/>
          <w:color w:val="auto"/>
          <w:szCs w:val="21"/>
          <w:highlight w:val="none"/>
          <w:u w:val="single"/>
        </w:rPr>
        <w:t>配合乙方开展现场查勘和现状调查工作</w:t>
      </w:r>
      <w:r>
        <w:rPr>
          <w:rFonts w:hint="eastAsia" w:ascii="宋体" w:hAnsi="宋体" w:cs="宋体"/>
          <w:b/>
          <w:color w:val="auto"/>
          <w:szCs w:val="21"/>
          <w:highlight w:val="none"/>
        </w:rPr>
        <w:t>；</w:t>
      </w:r>
      <w:r>
        <w:rPr>
          <w:rFonts w:hint="eastAsia" w:ascii="宋体" w:hAnsi="宋体"/>
          <w:color w:val="auto"/>
          <w:szCs w:val="21"/>
          <w:highlight w:val="none"/>
        </w:rPr>
        <w:t xml:space="preserve"> </w:t>
      </w:r>
    </w:p>
    <w:p w14:paraId="005B14F0">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（3）</w:t>
      </w:r>
      <w:r>
        <w:rPr>
          <w:rFonts w:hint="eastAsia" w:ascii="宋体" w:hAnsi="宋体" w:cs="宋体"/>
          <w:b/>
          <w:color w:val="auto"/>
          <w:szCs w:val="21"/>
          <w:highlight w:val="none"/>
          <w:u w:val="single"/>
        </w:rPr>
        <w:t>协助组织相关专题</w:t>
      </w:r>
      <w:r>
        <w:rPr>
          <w:rFonts w:ascii="宋体" w:hAnsi="宋体" w:cs="宋体"/>
          <w:b/>
          <w:color w:val="auto"/>
          <w:szCs w:val="21"/>
          <w:highlight w:val="none"/>
          <w:u w:val="single"/>
        </w:rPr>
        <w:t>报告</w:t>
      </w:r>
      <w:r>
        <w:rPr>
          <w:rFonts w:hint="eastAsia" w:ascii="宋体" w:hAnsi="宋体" w:cs="宋体"/>
          <w:b/>
          <w:color w:val="auto"/>
          <w:szCs w:val="21"/>
          <w:highlight w:val="none"/>
          <w:u w:val="single"/>
        </w:rPr>
        <w:t>审查会</w:t>
      </w:r>
      <w:r>
        <w:rPr>
          <w:rFonts w:hint="eastAsia" w:ascii="宋体" w:hAnsi="宋体" w:cs="宋体"/>
          <w:b/>
          <w:color w:val="auto"/>
          <w:szCs w:val="21"/>
          <w:highlight w:val="none"/>
        </w:rPr>
        <w:t>；</w:t>
      </w:r>
    </w:p>
    <w:p w14:paraId="212966C2">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w:t>
      </w:r>
      <w:r>
        <w:rPr>
          <w:rFonts w:hint="eastAsia" w:ascii="宋体" w:hAnsi="宋体" w:cs="宋体"/>
          <w:b/>
          <w:color w:val="auto"/>
          <w:szCs w:val="21"/>
          <w:highlight w:val="none"/>
          <w:u w:val="single"/>
        </w:rPr>
        <w:t>协助乙方进行公众参与</w:t>
      </w:r>
      <w:r>
        <w:rPr>
          <w:rFonts w:hint="eastAsia" w:ascii="宋体" w:hAnsi="宋体" w:cs="宋体"/>
          <w:b/>
          <w:color w:val="auto"/>
          <w:szCs w:val="21"/>
          <w:highlight w:val="none"/>
        </w:rPr>
        <w:t>。</w:t>
      </w:r>
      <w:r>
        <w:rPr>
          <w:rFonts w:hint="eastAsia" w:ascii="宋体" w:hAnsi="宋体"/>
          <w:color w:val="auto"/>
          <w:szCs w:val="21"/>
          <w:highlight w:val="none"/>
        </w:rPr>
        <w:t xml:space="preserve">   </w:t>
      </w:r>
    </w:p>
    <w:p w14:paraId="113F9335">
      <w:pPr>
        <w:spacing w:line="440" w:lineRule="exact"/>
        <w:ind w:firstLine="420" w:firstLineChars="200"/>
        <w:rPr>
          <w:rFonts w:ascii="宋体" w:hAnsi="宋体" w:cs="宋体"/>
          <w:b/>
          <w:color w:val="auto"/>
          <w:szCs w:val="21"/>
          <w:highlight w:val="none"/>
        </w:rPr>
      </w:pPr>
      <w:r>
        <w:rPr>
          <w:rFonts w:hint="eastAsia" w:ascii="宋体" w:hAnsi="宋体"/>
          <w:color w:val="auto"/>
          <w:szCs w:val="21"/>
          <w:highlight w:val="none"/>
        </w:rPr>
        <w:t>3．其他：</w:t>
      </w:r>
      <w:r>
        <w:rPr>
          <w:rFonts w:hint="eastAsia" w:ascii="宋体" w:hAnsi="宋体"/>
          <w:color w:val="auto"/>
          <w:szCs w:val="21"/>
          <w:highlight w:val="none"/>
          <w:u w:val="single"/>
        </w:rPr>
        <w:t xml:space="preserve">  </w:t>
      </w:r>
      <w:r>
        <w:rPr>
          <w:rFonts w:hint="eastAsia" w:ascii="宋体" w:hAnsi="宋体" w:cs="宋体"/>
          <w:b/>
          <w:color w:val="auto"/>
          <w:szCs w:val="21"/>
          <w:highlight w:val="none"/>
          <w:u w:val="single"/>
        </w:rPr>
        <w:t xml:space="preserve">无 </w:t>
      </w:r>
      <w:r>
        <w:rPr>
          <w:rFonts w:hint="eastAsia" w:ascii="宋体" w:hAnsi="宋体" w:cs="宋体"/>
          <w:b/>
          <w:color w:val="auto"/>
          <w:szCs w:val="21"/>
          <w:highlight w:val="none"/>
        </w:rPr>
        <w:t>。</w:t>
      </w:r>
    </w:p>
    <w:p w14:paraId="005CEB0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甲方提供上述协作事项的时间及方式：</w:t>
      </w:r>
      <w:r>
        <w:rPr>
          <w:rFonts w:hint="eastAsia" w:ascii="宋体" w:hAnsi="宋体" w:cs="宋体"/>
          <w:b/>
          <w:color w:val="auto"/>
          <w:szCs w:val="21"/>
          <w:highlight w:val="none"/>
          <w:u w:val="single"/>
        </w:rPr>
        <w:t>自签订合同后</w:t>
      </w:r>
      <w:r>
        <w:rPr>
          <w:rFonts w:ascii="宋体" w:hAnsi="宋体" w:cs="宋体"/>
          <w:b/>
          <w:color w:val="auto"/>
          <w:szCs w:val="21"/>
          <w:highlight w:val="none"/>
          <w:u w:val="single"/>
        </w:rPr>
        <w:t>5</w:t>
      </w:r>
      <w:r>
        <w:rPr>
          <w:rFonts w:hint="eastAsia" w:ascii="宋体" w:hAnsi="宋体" w:cs="宋体"/>
          <w:b/>
          <w:color w:val="auto"/>
          <w:szCs w:val="21"/>
          <w:highlight w:val="none"/>
          <w:u w:val="single"/>
        </w:rPr>
        <w:t>个日历天内提供电子版技术资料</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w:t>
      </w:r>
      <w:r>
        <w:rPr>
          <w:rFonts w:hint="eastAsia" w:ascii="宋体" w:hAnsi="宋体"/>
          <w:color w:val="auto"/>
          <w:szCs w:val="21"/>
          <w:highlight w:val="none"/>
        </w:rPr>
        <w:t xml:space="preserve">       </w:t>
      </w:r>
    </w:p>
    <w:p w14:paraId="3BC8E82A">
      <w:pPr>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第四条：甲方向乙方支付技术咨询报酬及支付方式为：</w:t>
      </w:r>
    </w:p>
    <w:p w14:paraId="6082E72C">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1．技术咨询报酬总额为：</w:t>
      </w:r>
      <w:r>
        <w:rPr>
          <w:rFonts w:hint="eastAsia" w:ascii="宋体" w:hAnsi="宋体"/>
          <w:b/>
          <w:color w:val="auto"/>
          <w:szCs w:val="21"/>
          <w:highlight w:val="none"/>
          <w:u w:val="single"/>
        </w:rPr>
        <w:t>本项目合同总价为</w:t>
      </w:r>
      <w:r>
        <w:rPr>
          <w:rFonts w:hint="eastAsia" w:ascii="宋体" w:hAnsi="宋体" w:cs="宋体"/>
          <w:b/>
          <w:color w:val="auto"/>
          <w:sz w:val="22"/>
          <w:szCs w:val="22"/>
          <w:highlight w:val="none"/>
          <w:u w:val="single"/>
        </w:rPr>
        <w:t xml:space="preserve">     </w:t>
      </w:r>
      <w:r>
        <w:rPr>
          <w:rFonts w:hint="eastAsia" w:ascii="宋体" w:hAnsi="宋体" w:cs="宋体"/>
          <w:b/>
          <w:color w:val="auto"/>
          <w:sz w:val="22"/>
          <w:szCs w:val="22"/>
          <w:highlight w:val="none"/>
        </w:rPr>
        <w:t>元，大写：</w:t>
      </w:r>
      <w:r>
        <w:rPr>
          <w:rFonts w:hint="eastAsia" w:ascii="宋体" w:hAnsi="宋体" w:cs="宋体"/>
          <w:b/>
          <w:color w:val="auto"/>
          <w:sz w:val="22"/>
          <w:szCs w:val="22"/>
          <w:highlight w:val="none"/>
          <w:u w:val="single"/>
        </w:rPr>
        <w:t xml:space="preserve">     </w:t>
      </w:r>
      <w:r>
        <w:rPr>
          <w:rFonts w:hint="eastAsia" w:ascii="宋体" w:hAnsi="宋体" w:cs="宋体"/>
          <w:b/>
          <w:color w:val="auto"/>
          <w:sz w:val="22"/>
          <w:szCs w:val="22"/>
          <w:highlight w:val="none"/>
        </w:rPr>
        <w:t>元整</w:t>
      </w:r>
      <w:r>
        <w:rPr>
          <w:rFonts w:hint="eastAsia" w:ascii="宋体" w:hAnsi="宋体"/>
          <w:b/>
          <w:color w:val="auto"/>
          <w:szCs w:val="21"/>
          <w:highlight w:val="none"/>
          <w:u w:val="single"/>
        </w:rPr>
        <w:t>，</w:t>
      </w:r>
      <w:r>
        <w:rPr>
          <w:rFonts w:hint="eastAsia" w:ascii="宋体" w:hAnsi="宋体"/>
          <w:b/>
          <w:color w:val="auto"/>
          <w:szCs w:val="21"/>
          <w:u w:val="single"/>
        </w:rPr>
        <w:t>税率</w:t>
      </w:r>
      <w:r>
        <w:rPr>
          <w:rFonts w:hint="eastAsia" w:ascii="宋体" w:hAnsi="宋体"/>
          <w:b/>
          <w:color w:val="auto"/>
          <w:szCs w:val="21"/>
          <w:u w:val="single"/>
          <w:lang w:val="en-US" w:eastAsia="zh-CN"/>
        </w:rPr>
        <w:t>6</w:t>
      </w:r>
      <w:r>
        <w:rPr>
          <w:rFonts w:hint="eastAsia" w:ascii="宋体" w:hAnsi="宋体"/>
          <w:b/>
          <w:color w:val="auto"/>
          <w:szCs w:val="21"/>
          <w:u w:val="single"/>
        </w:rPr>
        <w:t>%，</w:t>
      </w:r>
      <w:r>
        <w:rPr>
          <w:rFonts w:hint="eastAsia" w:ascii="宋体" w:hAnsi="宋体"/>
          <w:b/>
          <w:color w:val="auto"/>
          <w:szCs w:val="21"/>
          <w:highlight w:val="none"/>
          <w:u w:val="single"/>
        </w:rPr>
        <w:t>已包含乙方提供本合同下所有服务所需的全部费用，乙方不得以任何理由再增加费用，如有缺项、漏项均由乙方承担，甲方不再另行支付费用。</w:t>
      </w:r>
    </w:p>
    <w:p w14:paraId="37332616">
      <w:pPr>
        <w:spacing w:line="360" w:lineRule="auto"/>
        <w:ind w:firstLine="420" w:firstLineChars="200"/>
        <w:rPr>
          <w:rFonts w:ascii="宋体" w:hAnsi="宋体"/>
          <w:b/>
          <w:bCs/>
          <w:color w:val="auto"/>
          <w:highlight w:val="none"/>
        </w:rPr>
      </w:pPr>
      <w:r>
        <w:rPr>
          <w:rFonts w:ascii="宋体" w:hAnsi="宋体"/>
          <w:color w:val="auto"/>
          <w:szCs w:val="21"/>
          <w:highlight w:val="none"/>
        </w:rPr>
        <w:t>2.</w:t>
      </w:r>
      <w:r>
        <w:rPr>
          <w:rFonts w:ascii="宋体" w:hAnsi="宋体"/>
          <w:color w:val="auto"/>
          <w:highlight w:val="none"/>
        </w:rPr>
        <w:t>技术服务费由甲方</w:t>
      </w:r>
      <w:r>
        <w:rPr>
          <w:rFonts w:hint="eastAsia" w:ascii="宋体" w:hAnsi="宋体"/>
          <w:color w:val="auto"/>
          <w:highlight w:val="none"/>
        </w:rPr>
        <w:t>分两次</w:t>
      </w:r>
      <w:r>
        <w:rPr>
          <w:rFonts w:ascii="宋体" w:hAnsi="宋体"/>
          <w:color w:val="auto"/>
          <w:highlight w:val="none"/>
        </w:rPr>
        <w:t>支付乙方</w:t>
      </w:r>
      <w:r>
        <w:rPr>
          <w:rFonts w:hint="eastAsia" w:ascii="宋体" w:hAnsi="宋体"/>
          <w:color w:val="auto"/>
          <w:highlight w:val="none"/>
        </w:rPr>
        <w:t>，</w:t>
      </w:r>
      <w:r>
        <w:rPr>
          <w:rFonts w:ascii="宋体" w:hAnsi="宋体"/>
          <w:b/>
          <w:bCs/>
          <w:color w:val="auto"/>
          <w:highlight w:val="none"/>
        </w:rPr>
        <w:t>具体支付方式和时间如下：</w:t>
      </w:r>
      <w:r>
        <w:rPr>
          <w:rFonts w:hint="eastAsia" w:ascii="宋体" w:hAnsi="宋体"/>
          <w:b/>
          <w:bCs/>
          <w:color w:val="auto"/>
          <w:highlight w:val="none"/>
        </w:rPr>
        <w:t>合同签订后，甲方在</w:t>
      </w:r>
      <w:r>
        <w:rPr>
          <w:rFonts w:ascii="宋体" w:hAnsi="宋体"/>
          <w:b/>
          <w:bCs/>
          <w:color w:val="auto"/>
          <w:highlight w:val="none"/>
        </w:rPr>
        <w:t>15日历天内支付合同总价的20%，</w:t>
      </w:r>
      <w:r>
        <w:rPr>
          <w:rFonts w:hint="eastAsia" w:ascii="宋体" w:hAnsi="宋体" w:cs="宋体"/>
          <w:b/>
          <w:bCs/>
          <w:color w:val="auto"/>
          <w:sz w:val="22"/>
          <w:szCs w:val="22"/>
          <w:highlight w:val="none"/>
        </w:rPr>
        <w:t>即</w:t>
      </w:r>
      <w:r>
        <w:rPr>
          <w:rFonts w:ascii="宋体" w:hAnsi="宋体" w:cs="宋体"/>
          <w:b/>
          <w:bCs/>
          <w:color w:val="auto"/>
          <w:sz w:val="22"/>
          <w:szCs w:val="22"/>
          <w:highlight w:val="none"/>
          <w:u w:val="single"/>
        </w:rPr>
        <w:t xml:space="preserve">      元</w:t>
      </w:r>
      <w:r>
        <w:rPr>
          <w:rFonts w:hint="eastAsia" w:ascii="宋体" w:hAnsi="宋体" w:cs="宋体"/>
          <w:b/>
          <w:bCs/>
          <w:color w:val="auto"/>
          <w:sz w:val="22"/>
          <w:szCs w:val="22"/>
          <w:highlight w:val="none"/>
        </w:rPr>
        <w:t>，大写：</w:t>
      </w:r>
      <w:r>
        <w:rPr>
          <w:rFonts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rPr>
        <w:t>元整</w:t>
      </w:r>
      <w:r>
        <w:rPr>
          <w:rFonts w:hint="eastAsia" w:ascii="宋体" w:hAnsi="宋体"/>
          <w:b/>
          <w:bCs/>
          <w:color w:val="auto"/>
          <w:highlight w:val="none"/>
        </w:rPr>
        <w:t>；报告通过专家审查，并通过主管部门审批后，</w:t>
      </w:r>
      <w:r>
        <w:rPr>
          <w:rFonts w:ascii="宋体" w:hAnsi="宋体"/>
          <w:b/>
          <w:bCs/>
          <w:color w:val="auto"/>
          <w:highlight w:val="none"/>
        </w:rPr>
        <w:t>支付至合同总价的100%，</w:t>
      </w:r>
      <w:r>
        <w:rPr>
          <w:rFonts w:hint="eastAsia" w:ascii="宋体" w:hAnsi="宋体" w:cs="宋体"/>
          <w:b/>
          <w:bCs/>
          <w:color w:val="auto"/>
          <w:sz w:val="22"/>
          <w:szCs w:val="22"/>
          <w:highlight w:val="none"/>
        </w:rPr>
        <w:t>即</w:t>
      </w:r>
      <w:r>
        <w:rPr>
          <w:rFonts w:ascii="宋体" w:hAnsi="宋体" w:cs="宋体"/>
          <w:b/>
          <w:bCs/>
          <w:color w:val="auto"/>
          <w:sz w:val="22"/>
          <w:szCs w:val="22"/>
          <w:highlight w:val="none"/>
          <w:u w:val="single"/>
        </w:rPr>
        <w:t xml:space="preserve">      元</w:t>
      </w:r>
      <w:r>
        <w:rPr>
          <w:rFonts w:hint="eastAsia" w:ascii="宋体" w:hAnsi="宋体" w:cs="宋体"/>
          <w:b/>
          <w:bCs/>
          <w:color w:val="auto"/>
          <w:sz w:val="22"/>
          <w:szCs w:val="22"/>
          <w:highlight w:val="none"/>
        </w:rPr>
        <w:t>，大写：</w:t>
      </w:r>
      <w:r>
        <w:rPr>
          <w:rFonts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rPr>
        <w:t>元整</w:t>
      </w:r>
      <w:r>
        <w:rPr>
          <w:rFonts w:hint="eastAsia" w:ascii="宋体" w:hAnsi="宋体"/>
          <w:b/>
          <w:bCs/>
          <w:color w:val="auto"/>
          <w:highlight w:val="none"/>
        </w:rPr>
        <w:t>。</w:t>
      </w:r>
    </w:p>
    <w:p w14:paraId="338E1FA3">
      <w:pPr>
        <w:spacing w:line="360" w:lineRule="auto"/>
        <w:ind w:firstLine="420" w:firstLineChars="200"/>
        <w:rPr>
          <w:rFonts w:hint="eastAsia" w:ascii="宋体" w:hAnsi="宋体"/>
          <w:color w:val="auto"/>
          <w:highlight w:val="none"/>
        </w:rPr>
      </w:pPr>
      <w:r>
        <w:rPr>
          <w:rFonts w:ascii="宋体" w:hAnsi="宋体"/>
          <w:color w:val="auto"/>
          <w:highlight w:val="none"/>
        </w:rPr>
        <w:t>3. 相关费用支付前，乙方需提交等额的增值税专用发票，否则甲方有权暂停支</w:t>
      </w:r>
      <w:r>
        <w:rPr>
          <w:rFonts w:hint="eastAsia" w:ascii="宋体" w:hAnsi="宋体"/>
          <w:color w:val="auto"/>
          <w:highlight w:val="none"/>
        </w:rPr>
        <w:t>付并不承担任何违约责任。合同履行期间，因国家税务政策调整或中标人自身原因（如税务资质不符、税务资质调整、核算失误等原因），导致无法开具约定税率合规专票的，按以下规则处理：</w:t>
      </w:r>
    </w:p>
    <w:p w14:paraId="5B1AB8A3">
      <w:pPr>
        <w:spacing w:line="360" w:lineRule="auto"/>
        <w:ind w:firstLine="420" w:firstLineChars="200"/>
        <w:rPr>
          <w:rFonts w:hint="eastAsia" w:ascii="宋体" w:hAnsi="宋体"/>
          <w:color w:val="auto"/>
          <w:highlight w:val="none"/>
        </w:rPr>
      </w:pPr>
      <w:r>
        <w:rPr>
          <w:rFonts w:hint="eastAsia" w:ascii="宋体" w:hAnsi="宋体"/>
          <w:color w:val="auto"/>
          <w:highlight w:val="none"/>
        </w:rPr>
        <w:t>（1）实际税率低于约定税率的，含税价按 “不含税价不变” 调整，即调整后含税价 = 中标含税报价 ÷（1+约定税率）×（1 + 实际税率）</w:t>
      </w:r>
    </w:p>
    <w:p w14:paraId="3D35E5F7">
      <w:pPr>
        <w:spacing w:line="360" w:lineRule="auto"/>
        <w:ind w:firstLine="420" w:firstLineChars="200"/>
        <w:rPr>
          <w:rFonts w:ascii="宋体" w:hAnsi="宋体"/>
          <w:color w:val="auto"/>
          <w:highlight w:val="none"/>
        </w:rPr>
      </w:pPr>
      <w:r>
        <w:rPr>
          <w:rFonts w:hint="eastAsia" w:ascii="宋体" w:hAnsi="宋体"/>
          <w:color w:val="auto"/>
          <w:highlight w:val="none"/>
        </w:rPr>
        <w:t>（2）实际税率高于约定税率的，含税总价维持不变，税率升高产生的额外税费由中标人自行承担，不得要求招标人调整价格或追加费用。</w:t>
      </w:r>
    </w:p>
    <w:p w14:paraId="5CE81466">
      <w:pPr>
        <w:spacing w:line="360" w:lineRule="auto"/>
        <w:ind w:firstLine="420" w:firstLineChars="200"/>
        <w:rPr>
          <w:color w:val="auto"/>
          <w:highlight w:val="none"/>
        </w:rPr>
      </w:pPr>
      <w:r>
        <w:rPr>
          <w:rFonts w:ascii="宋体" w:hAnsi="宋体"/>
          <w:color w:val="auto"/>
          <w:highlight w:val="none"/>
        </w:rPr>
        <w:t xml:space="preserve">4. </w:t>
      </w:r>
      <w:r>
        <w:rPr>
          <w:rFonts w:hint="eastAsia"/>
          <w:color w:val="auto"/>
          <w:highlight w:val="none"/>
        </w:rPr>
        <w:t>履约保证金在合同服务期结束后30个日历天内，无息向乙方退还</w:t>
      </w:r>
      <w:r>
        <w:rPr>
          <w:rFonts w:hint="eastAsia"/>
          <w:color w:val="auto"/>
          <w:highlight w:val="none"/>
          <w:lang w:eastAsia="zh-CN"/>
        </w:rPr>
        <w:t>；若一阶段工程全部交工验收合格之日起满1年，</w:t>
      </w:r>
      <w:r>
        <w:rPr>
          <w:rFonts w:hint="eastAsia"/>
          <w:color w:val="auto"/>
          <w:highlight w:val="none"/>
          <w:lang w:val="en-US" w:eastAsia="zh-CN"/>
        </w:rPr>
        <w:t>甲方</w:t>
      </w:r>
      <w:r>
        <w:rPr>
          <w:rFonts w:hint="eastAsia"/>
          <w:color w:val="auto"/>
          <w:highlight w:val="none"/>
          <w:lang w:eastAsia="zh-CN"/>
        </w:rPr>
        <w:t>仍未书面通知启动二阶段工程，则</w:t>
      </w:r>
      <w:r>
        <w:rPr>
          <w:rFonts w:hint="eastAsia"/>
          <w:color w:val="auto"/>
          <w:highlight w:val="none"/>
          <w:lang w:val="en-US" w:eastAsia="zh-CN"/>
        </w:rPr>
        <w:t>甲方</w:t>
      </w:r>
      <w:r>
        <w:rPr>
          <w:rFonts w:hint="eastAsia"/>
          <w:color w:val="auto"/>
          <w:highlight w:val="none"/>
          <w:lang w:eastAsia="zh-CN"/>
        </w:rPr>
        <w:t>应在该期限届满后30个日历天内向乙方无息退还全部履约保证金</w:t>
      </w:r>
      <w:r>
        <w:rPr>
          <w:rFonts w:hint="eastAsia"/>
          <w:color w:val="auto"/>
          <w:highlight w:val="none"/>
        </w:rPr>
        <w:t>。</w:t>
      </w:r>
    </w:p>
    <w:p w14:paraId="28E1681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乙方开户银行名称、地址和账号为：</w:t>
      </w:r>
    </w:p>
    <w:p w14:paraId="53712BF1">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14:paraId="221562A7">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35BA2F54">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账号：</w:t>
      </w:r>
      <w:r>
        <w:rPr>
          <w:rFonts w:hint="eastAsia" w:ascii="宋体" w:hAnsi="宋体"/>
          <w:color w:val="auto"/>
          <w:szCs w:val="21"/>
          <w:highlight w:val="none"/>
          <w:u w:val="single"/>
        </w:rPr>
        <w:t xml:space="preserve">                                                                   </w:t>
      </w:r>
    </w:p>
    <w:p w14:paraId="7529C16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第五条：双方确定因履行本合同应遵守的保密义务如下：</w:t>
      </w:r>
    </w:p>
    <w:p w14:paraId="18A75396">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甲、乙方：</w:t>
      </w:r>
    </w:p>
    <w:p w14:paraId="2FE3F40E">
      <w:pPr>
        <w:spacing w:line="440" w:lineRule="exact"/>
        <w:ind w:firstLine="420" w:firstLineChars="200"/>
        <w:rPr>
          <w:rFonts w:ascii="宋体" w:hAnsi="宋体"/>
          <w:b/>
          <w:bCs/>
          <w:color w:val="auto"/>
          <w:szCs w:val="21"/>
          <w:highlight w:val="none"/>
          <w:u w:val="single"/>
        </w:rPr>
      </w:pPr>
      <w:r>
        <w:rPr>
          <w:rFonts w:hint="eastAsia" w:ascii="宋体" w:hAnsi="宋体"/>
          <w:color w:val="auto"/>
          <w:szCs w:val="21"/>
          <w:highlight w:val="none"/>
        </w:rPr>
        <w:t>1．保密内容（包括技术信息和经营信息）:</w:t>
      </w:r>
      <w:r>
        <w:rPr>
          <w:rFonts w:hint="eastAsia" w:ascii="宋体" w:hAnsi="宋体"/>
          <w:b/>
          <w:bCs/>
          <w:color w:val="auto"/>
          <w:szCs w:val="21"/>
          <w:highlight w:val="none"/>
          <w:u w:val="single"/>
        </w:rPr>
        <w:t xml:space="preserve"> 甲方提供的技术信息、商业信息，乙方在本合同项下完成的工作成果</w:t>
      </w:r>
      <w:r>
        <w:rPr>
          <w:rFonts w:hint="eastAsia" w:ascii="宋体" w:hAnsi="宋体" w:cs="宋体"/>
          <w:b/>
          <w:bCs/>
          <w:color w:val="auto"/>
          <w:szCs w:val="21"/>
          <w:highlight w:val="none"/>
          <w:u w:val="single"/>
        </w:rPr>
        <w:t>，并签订相应的保密协议</w:t>
      </w:r>
      <w:r>
        <w:rPr>
          <w:rFonts w:hint="eastAsia" w:ascii="宋体" w:hAnsi="宋体"/>
          <w:b/>
          <w:bCs/>
          <w:color w:val="auto"/>
          <w:szCs w:val="21"/>
          <w:highlight w:val="none"/>
          <w:u w:val="single"/>
        </w:rPr>
        <w:t xml:space="preserve">。 </w:t>
      </w:r>
    </w:p>
    <w:p w14:paraId="2B7ACE4C">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 xml:space="preserve">2．涉密人员范围: </w:t>
      </w:r>
      <w:r>
        <w:rPr>
          <w:rFonts w:hint="eastAsia" w:ascii="宋体" w:hAnsi="宋体"/>
          <w:color w:val="auto"/>
          <w:szCs w:val="21"/>
          <w:highlight w:val="none"/>
          <w:u w:val="single"/>
        </w:rPr>
        <w:t xml:space="preserve"> </w:t>
      </w:r>
      <w:r>
        <w:rPr>
          <w:rFonts w:hint="eastAsia" w:ascii="宋体" w:hAnsi="宋体" w:cs="宋体"/>
          <w:b/>
          <w:color w:val="auto"/>
          <w:szCs w:val="21"/>
          <w:highlight w:val="none"/>
          <w:u w:val="single"/>
        </w:rPr>
        <w:t xml:space="preserve"> 本项目参与报告编制相关人员</w:t>
      </w:r>
      <w:r>
        <w:rPr>
          <w:rFonts w:hint="eastAsia" w:ascii="宋体" w:hAnsi="宋体" w:cs="宋体"/>
          <w:b/>
          <w:color w:val="auto"/>
          <w:szCs w:val="21"/>
          <w:highlight w:val="none"/>
        </w:rPr>
        <w:t>。</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46365F68">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3．保密期限：</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长期  </w:t>
      </w:r>
      <w:r>
        <w:rPr>
          <w:rFonts w:hint="eastAsia" w:ascii="宋体" w:hAnsi="宋体" w:cs="宋体"/>
          <w:b/>
          <w:color w:val="auto"/>
          <w:szCs w:val="21"/>
          <w:highlight w:val="none"/>
        </w:rPr>
        <w:t>。</w:t>
      </w:r>
      <w:r>
        <w:rPr>
          <w:rFonts w:hint="eastAsia" w:ascii="宋体" w:hAnsi="宋体"/>
          <w:color w:val="auto"/>
          <w:szCs w:val="21"/>
          <w:highlight w:val="none"/>
        </w:rPr>
        <w:t xml:space="preserve">                                                              </w:t>
      </w:r>
    </w:p>
    <w:p w14:paraId="669FBD49">
      <w:pPr>
        <w:spacing w:line="440" w:lineRule="exact"/>
        <w:ind w:firstLine="420" w:firstLineChars="200"/>
        <w:rPr>
          <w:rFonts w:ascii="宋体" w:hAnsi="宋体" w:cs="宋体"/>
          <w:b/>
          <w:color w:val="auto"/>
          <w:szCs w:val="21"/>
          <w:highlight w:val="none"/>
        </w:rPr>
      </w:pPr>
      <w:r>
        <w:rPr>
          <w:rFonts w:hint="eastAsia" w:ascii="宋体" w:hAnsi="宋体"/>
          <w:color w:val="auto"/>
          <w:szCs w:val="21"/>
          <w:highlight w:val="none"/>
        </w:rPr>
        <w:t>4．泄密责任：</w:t>
      </w:r>
      <w:r>
        <w:rPr>
          <w:rFonts w:hint="eastAsia" w:ascii="宋体" w:hAnsi="宋体"/>
          <w:color w:val="auto"/>
          <w:szCs w:val="21"/>
          <w:highlight w:val="none"/>
          <w:u w:val="single"/>
        </w:rPr>
        <w:t xml:space="preserve">   </w:t>
      </w:r>
      <w:r>
        <w:rPr>
          <w:rFonts w:hint="eastAsia" w:ascii="宋体" w:hAnsi="宋体" w:cs="宋体"/>
          <w:b/>
          <w:color w:val="auto"/>
          <w:szCs w:val="21"/>
          <w:highlight w:val="none"/>
          <w:u w:val="single"/>
        </w:rPr>
        <w:t>按国家相关法律法规规定</w:t>
      </w:r>
      <w:r>
        <w:rPr>
          <w:rFonts w:hint="eastAsia" w:ascii="宋体" w:hAnsi="宋体" w:cs="宋体"/>
          <w:b/>
          <w:color w:val="auto"/>
          <w:szCs w:val="21"/>
          <w:highlight w:val="none"/>
        </w:rPr>
        <w:t>。</w:t>
      </w:r>
    </w:p>
    <w:p w14:paraId="3215A59B">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第六条：</w:t>
      </w:r>
      <w:r>
        <w:rPr>
          <w:rFonts w:hint="eastAsia" w:ascii="宋体" w:hAnsi="宋体" w:cs="宋体"/>
          <w:b/>
          <w:color w:val="auto"/>
          <w:szCs w:val="21"/>
          <w:highlight w:val="none"/>
        </w:rPr>
        <w:t>在环境影响报告书编制中，如因方案和建设内容发生变化而导致专题研究内容修改调整所产生的费用由乙方承担。</w:t>
      </w:r>
      <w:r>
        <w:rPr>
          <w:rFonts w:hint="eastAsia" w:ascii="宋体" w:hAnsi="宋体"/>
          <w:color w:val="auto"/>
          <w:szCs w:val="21"/>
          <w:highlight w:val="none"/>
        </w:rPr>
        <w:t xml:space="preserve">     </w:t>
      </w:r>
    </w:p>
    <w:p w14:paraId="4D97982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第七条：双方确定，按以下标准和方式对乙方提交的技术咨询工作成果进行验收：</w:t>
      </w:r>
    </w:p>
    <w:p w14:paraId="45866D98">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1．乙方提交技术咨询工作成果的形式：</w:t>
      </w:r>
      <w:r>
        <w:rPr>
          <w:rFonts w:hint="eastAsia" w:ascii="宋体" w:hAnsi="宋体" w:cs="宋体"/>
          <w:b/>
          <w:color w:val="auto"/>
          <w:sz w:val="22"/>
          <w:szCs w:val="22"/>
          <w:highlight w:val="none"/>
          <w:u w:val="single"/>
        </w:rPr>
        <w:t>甲方提供书面报告送审稿（4份）与修改后的报批稿（6份），另加电子资料一套（U盘）</w:t>
      </w:r>
      <w:r>
        <w:rPr>
          <w:rFonts w:hint="eastAsia" w:ascii="宋体" w:hAnsi="宋体" w:cs="宋体"/>
          <w:b/>
          <w:color w:val="auto"/>
          <w:szCs w:val="21"/>
          <w:highlight w:val="none"/>
        </w:rPr>
        <w:t>。</w:t>
      </w:r>
      <w:r>
        <w:rPr>
          <w:rFonts w:hint="eastAsia" w:ascii="宋体" w:hAnsi="宋体"/>
          <w:color w:val="auto"/>
          <w:szCs w:val="21"/>
          <w:highlight w:val="none"/>
        </w:rPr>
        <w:t xml:space="preserve">             </w:t>
      </w:r>
    </w:p>
    <w:p w14:paraId="08238DB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2．技术咨询工作成果的验收标准：</w:t>
      </w:r>
      <w:r>
        <w:rPr>
          <w:rFonts w:hint="eastAsia" w:ascii="宋体" w:hAnsi="宋体" w:cs="宋体"/>
          <w:b/>
          <w:color w:val="auto"/>
          <w:szCs w:val="21"/>
          <w:highlight w:val="none"/>
          <w:u w:val="single"/>
        </w:rPr>
        <w:t>相关规范标准</w:t>
      </w:r>
      <w:r>
        <w:rPr>
          <w:rFonts w:hint="eastAsia" w:ascii="宋体" w:hAnsi="宋体" w:cs="宋体"/>
          <w:b/>
          <w:color w:val="auto"/>
          <w:szCs w:val="21"/>
          <w:highlight w:val="none"/>
        </w:rPr>
        <w:t xml:space="preserve">。                                   </w:t>
      </w:r>
    </w:p>
    <w:p w14:paraId="71700F5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3．技术咨询工作成果的验收方法：</w:t>
      </w:r>
      <w:r>
        <w:rPr>
          <w:rFonts w:hint="eastAsia" w:ascii="宋体" w:hAnsi="宋体"/>
          <w:b/>
          <w:color w:val="auto"/>
          <w:szCs w:val="21"/>
          <w:highlight w:val="none"/>
          <w:u w:val="single"/>
        </w:rPr>
        <w:t>报告通过专家评审，</w:t>
      </w:r>
      <w:r>
        <w:rPr>
          <w:rFonts w:hint="eastAsia" w:ascii="宋体" w:hAnsi="宋体"/>
          <w:b/>
          <w:bCs/>
          <w:color w:val="auto"/>
          <w:highlight w:val="none"/>
          <w:u w:val="single"/>
        </w:rPr>
        <w:t>并</w:t>
      </w:r>
      <w:r>
        <w:rPr>
          <w:rFonts w:hint="eastAsia" w:ascii="宋体" w:hAnsi="宋体"/>
          <w:b/>
          <w:color w:val="auto"/>
          <w:szCs w:val="21"/>
          <w:highlight w:val="none"/>
          <w:u w:val="single"/>
        </w:rPr>
        <w:t>取得环境影响审批意见</w:t>
      </w:r>
      <w:r>
        <w:rPr>
          <w:rFonts w:hint="eastAsia" w:ascii="宋体" w:hAnsi="宋体"/>
          <w:color w:val="auto"/>
          <w:szCs w:val="21"/>
          <w:highlight w:val="none"/>
        </w:rPr>
        <w:t>。</w:t>
      </w:r>
    </w:p>
    <w:p w14:paraId="4F3F7AF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第八条：双方确定，按以下约定承担各自的违约责任：</w:t>
      </w:r>
    </w:p>
    <w:p w14:paraId="003F4335">
      <w:pPr>
        <w:snapToGrid w:val="0"/>
        <w:spacing w:line="500" w:lineRule="exact"/>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乙</w:t>
      </w:r>
      <w:r>
        <w:rPr>
          <w:rFonts w:ascii="宋体" w:hAnsi="宋体"/>
          <w:color w:val="auto"/>
          <w:highlight w:val="none"/>
        </w:rPr>
        <w:t>方违反本合同第</w:t>
      </w:r>
      <w:r>
        <w:rPr>
          <w:rFonts w:ascii="宋体" w:hAnsi="宋体"/>
          <w:color w:val="auto"/>
          <w:highlight w:val="none"/>
          <w:u w:val="single"/>
        </w:rPr>
        <w:t>二</w:t>
      </w:r>
      <w:r>
        <w:rPr>
          <w:rFonts w:ascii="宋体" w:hAnsi="宋体"/>
          <w:color w:val="auto"/>
          <w:highlight w:val="none"/>
        </w:rPr>
        <w:t>条约定，应当</w:t>
      </w:r>
      <w:r>
        <w:rPr>
          <w:rFonts w:ascii="宋体" w:hAnsi="宋体"/>
          <w:color w:val="auto"/>
          <w:highlight w:val="none"/>
          <w:u w:val="single"/>
        </w:rPr>
        <w:t>按每</w:t>
      </w:r>
      <w:r>
        <w:rPr>
          <w:rFonts w:hint="eastAsia" w:ascii="宋体" w:hAnsi="宋体"/>
          <w:color w:val="auto"/>
          <w:highlight w:val="none"/>
          <w:u w:val="single"/>
        </w:rPr>
        <w:t>延迟</w:t>
      </w:r>
      <w:r>
        <w:rPr>
          <w:rFonts w:ascii="宋体" w:hAnsi="宋体"/>
          <w:color w:val="auto"/>
          <w:highlight w:val="none"/>
          <w:u w:val="single"/>
        </w:rPr>
        <w:t>一天，应向甲方支付本合同</w:t>
      </w:r>
      <w:r>
        <w:rPr>
          <w:rFonts w:hint="eastAsia" w:ascii="宋体" w:hAnsi="宋体"/>
          <w:color w:val="auto"/>
          <w:highlight w:val="none"/>
          <w:u w:val="single"/>
        </w:rPr>
        <w:t>价款</w:t>
      </w:r>
      <w:r>
        <w:rPr>
          <w:rFonts w:ascii="宋体" w:hAnsi="宋体"/>
          <w:color w:val="auto"/>
          <w:highlight w:val="none"/>
          <w:u w:val="single"/>
        </w:rPr>
        <w:t>的3‰作为违约金</w:t>
      </w:r>
      <w:r>
        <w:rPr>
          <w:rFonts w:hint="eastAsia" w:ascii="宋体" w:hAnsi="宋体"/>
          <w:color w:val="auto"/>
          <w:highlight w:val="none"/>
          <w:u w:val="single"/>
        </w:rPr>
        <w:t>；延迟超过3</w:t>
      </w:r>
      <w:r>
        <w:rPr>
          <w:rFonts w:ascii="宋体" w:hAnsi="宋体"/>
          <w:color w:val="auto"/>
          <w:highlight w:val="none"/>
          <w:u w:val="single"/>
        </w:rPr>
        <w:t>0</w:t>
      </w:r>
      <w:r>
        <w:rPr>
          <w:rFonts w:hint="eastAsia" w:ascii="宋体" w:hAnsi="宋体"/>
          <w:color w:val="auto"/>
          <w:highlight w:val="none"/>
          <w:u w:val="single"/>
        </w:rPr>
        <w:t>日的，甲方有权解除合同</w:t>
      </w:r>
      <w:r>
        <w:rPr>
          <w:rFonts w:hint="eastAsia" w:ascii="宋体" w:hAnsi="宋体"/>
          <w:color w:val="auto"/>
          <w:highlight w:val="none"/>
          <w:u w:val="single"/>
          <w:lang w:eastAsia="zh-CN"/>
        </w:rPr>
        <w:t>，</w:t>
      </w:r>
      <w:r>
        <w:rPr>
          <w:rFonts w:hint="eastAsia" w:ascii="宋体" w:hAnsi="宋体"/>
          <w:color w:val="auto"/>
          <w:highlight w:val="none"/>
          <w:u w:val="single"/>
        </w:rPr>
        <w:t>要求乙方支付5万元的违约金</w:t>
      </w:r>
      <w:r>
        <w:rPr>
          <w:rFonts w:hint="eastAsia" w:ascii="宋体" w:hAnsi="宋体"/>
          <w:color w:val="auto"/>
          <w:u w:val="single"/>
        </w:rPr>
        <w:t>并赔偿甲方因此造成的全部损失</w:t>
      </w:r>
      <w:r>
        <w:rPr>
          <w:rFonts w:ascii="宋体" w:hAnsi="宋体"/>
          <w:color w:val="auto"/>
          <w:highlight w:val="none"/>
          <w:u w:val="single"/>
        </w:rPr>
        <w:t>。</w:t>
      </w:r>
    </w:p>
    <w:p w14:paraId="1A4FD923">
      <w:pPr>
        <w:snapToGrid w:val="0"/>
        <w:spacing w:line="500" w:lineRule="exact"/>
        <w:ind w:firstLine="420" w:firstLineChars="200"/>
        <w:rPr>
          <w:rFonts w:ascii="宋体" w:hAnsi="宋体"/>
          <w:color w:val="auto"/>
          <w:highlight w:val="none"/>
        </w:rPr>
      </w:pPr>
      <w:r>
        <w:rPr>
          <w:rFonts w:hint="eastAsia" w:ascii="宋体" w:hAnsi="宋体"/>
          <w:color w:val="auto"/>
          <w:highlight w:val="none"/>
        </w:rPr>
        <w:t>2</w:t>
      </w:r>
      <w:r>
        <w:rPr>
          <w:rFonts w:ascii="宋体" w:hAnsi="宋体"/>
          <w:color w:val="auto"/>
          <w:highlight w:val="none"/>
        </w:rPr>
        <w:t>.</w:t>
      </w:r>
      <w:r>
        <w:rPr>
          <w:rFonts w:hint="eastAsia" w:ascii="宋体" w:hAnsi="宋体"/>
          <w:color w:val="auto"/>
          <w:highlight w:val="none"/>
        </w:rPr>
        <w:t>乙方违反本合同约定的其他义务的，甲方有权要求乙方按每次2</w:t>
      </w:r>
      <w:r>
        <w:rPr>
          <w:rFonts w:ascii="宋体" w:hAnsi="宋体"/>
          <w:color w:val="auto"/>
          <w:highlight w:val="none"/>
        </w:rPr>
        <w:t>000</w:t>
      </w:r>
      <w:r>
        <w:rPr>
          <w:rFonts w:hint="eastAsia" w:ascii="宋体" w:hAnsi="宋体"/>
          <w:color w:val="auto"/>
          <w:highlight w:val="none"/>
        </w:rPr>
        <w:t>元的标准支付违约金。</w:t>
      </w:r>
    </w:p>
    <w:p w14:paraId="76B764EA">
      <w:pPr>
        <w:snapToGrid w:val="0"/>
        <w:spacing w:line="500" w:lineRule="exact"/>
        <w:ind w:firstLine="420" w:firstLineChars="200"/>
        <w:rPr>
          <w:rFonts w:ascii="宋体" w:hAnsi="宋体"/>
          <w:color w:val="auto"/>
          <w:highlight w:val="none"/>
          <w:u w:val="single"/>
        </w:rPr>
      </w:pPr>
      <w:r>
        <w:rPr>
          <w:rFonts w:ascii="宋体" w:hAnsi="宋体"/>
          <w:color w:val="auto"/>
          <w:highlight w:val="none"/>
        </w:rPr>
        <w:t>3.</w:t>
      </w:r>
      <w:r>
        <w:rPr>
          <w:rFonts w:hint="eastAsia" w:ascii="宋体" w:hAnsi="宋体"/>
          <w:color w:val="auto"/>
          <w:highlight w:val="none"/>
        </w:rPr>
        <w:t>甲</w:t>
      </w:r>
      <w:r>
        <w:rPr>
          <w:rFonts w:ascii="宋体" w:hAnsi="宋体"/>
          <w:color w:val="auto"/>
          <w:highlight w:val="none"/>
        </w:rPr>
        <w:t>方违反本合同第</w:t>
      </w:r>
      <w:r>
        <w:rPr>
          <w:rFonts w:ascii="宋体" w:hAnsi="宋体"/>
          <w:color w:val="auto"/>
          <w:highlight w:val="none"/>
          <w:u w:val="single"/>
        </w:rPr>
        <w:t>三</w:t>
      </w:r>
      <w:r>
        <w:rPr>
          <w:rFonts w:ascii="宋体" w:hAnsi="宋体"/>
          <w:color w:val="auto"/>
          <w:highlight w:val="none"/>
        </w:rPr>
        <w:t xml:space="preserve">条约定，应当 </w:t>
      </w:r>
      <w:r>
        <w:rPr>
          <w:rFonts w:ascii="宋体" w:hAnsi="宋体"/>
          <w:color w:val="auto"/>
          <w:highlight w:val="none"/>
          <w:u w:val="single"/>
        </w:rPr>
        <w:t>允许乙方顺延报告书提交时间。</w:t>
      </w:r>
    </w:p>
    <w:p w14:paraId="5D268410">
      <w:pPr>
        <w:snapToGrid w:val="0"/>
        <w:spacing w:line="500" w:lineRule="exact"/>
        <w:ind w:firstLine="420" w:firstLineChars="200"/>
        <w:rPr>
          <w:rFonts w:ascii="宋体" w:hAnsi="宋体"/>
          <w:color w:val="auto"/>
          <w:highlight w:val="none"/>
        </w:rPr>
      </w:pPr>
      <w:r>
        <w:rPr>
          <w:rFonts w:ascii="宋体" w:hAnsi="宋体"/>
          <w:color w:val="auto"/>
          <w:highlight w:val="none"/>
        </w:rPr>
        <w:t>4.甲方</w:t>
      </w:r>
      <w:r>
        <w:rPr>
          <w:rFonts w:hint="eastAsia" w:ascii="宋体" w:hAnsi="宋体"/>
          <w:color w:val="auto"/>
          <w:highlight w:val="none"/>
        </w:rPr>
        <w:t>未</w:t>
      </w:r>
      <w:r>
        <w:rPr>
          <w:rFonts w:ascii="宋体" w:hAnsi="宋体"/>
          <w:color w:val="auto"/>
          <w:highlight w:val="none"/>
        </w:rPr>
        <w:t>按照合同约定时间履行付款义务的，每逾期一日应支付乙方本合同金额</w:t>
      </w:r>
      <w:r>
        <w:rPr>
          <w:rFonts w:hint="eastAsia" w:ascii="宋体" w:hAnsi="宋体"/>
          <w:color w:val="auto"/>
          <w:highlight w:val="none"/>
        </w:rPr>
        <w:t>3</w:t>
      </w:r>
      <w:r>
        <w:rPr>
          <w:rFonts w:ascii="宋体" w:hAnsi="宋体"/>
          <w:color w:val="auto"/>
          <w:highlight w:val="none"/>
        </w:rPr>
        <w:t>‰的违约金。</w:t>
      </w:r>
    </w:p>
    <w:p w14:paraId="6FB9359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第九条：双方确定：</w:t>
      </w:r>
    </w:p>
    <w:p w14:paraId="1D269D2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1．本合同项下，乙方完成的工作成果知识产权，归</w:t>
      </w:r>
      <w:r>
        <w:rPr>
          <w:rFonts w:ascii="宋体" w:hAnsi="宋体"/>
          <w:color w:val="auto"/>
          <w:szCs w:val="21"/>
          <w:highlight w:val="none"/>
          <w:u w:val="single"/>
        </w:rPr>
        <w:t xml:space="preserve"> 甲 </w:t>
      </w:r>
      <w:r>
        <w:rPr>
          <w:rFonts w:hint="eastAsia" w:ascii="宋体" w:hAnsi="宋体"/>
          <w:color w:val="auto"/>
          <w:szCs w:val="21"/>
          <w:highlight w:val="none"/>
        </w:rPr>
        <w:t>方所有。</w:t>
      </w:r>
    </w:p>
    <w:p w14:paraId="2C31303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2．在本合同</w:t>
      </w:r>
      <w:r>
        <w:rPr>
          <w:rFonts w:hint="eastAsia" w:ascii="宋体" w:hAnsi="宋体"/>
          <w:color w:val="auto"/>
          <w:szCs w:val="21"/>
          <w:lang w:val="en-US" w:eastAsia="zh-CN"/>
        </w:rPr>
        <w:t>履行</w:t>
      </w:r>
      <w:r>
        <w:rPr>
          <w:rFonts w:hint="eastAsia" w:ascii="宋体" w:hAnsi="宋体"/>
          <w:color w:val="auto"/>
          <w:szCs w:val="21"/>
          <w:highlight w:val="none"/>
        </w:rPr>
        <w:t>期内，乙方利用甲方提供的技术资料和工作条件所完成的新的技术成果，归</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甲</w:t>
      </w:r>
      <w:r>
        <w:rPr>
          <w:rFonts w:hint="eastAsia" w:ascii="宋体" w:hAnsi="宋体"/>
          <w:color w:val="auto"/>
          <w:szCs w:val="21"/>
          <w:highlight w:val="none"/>
          <w:u w:val="single"/>
        </w:rPr>
        <w:t xml:space="preserve">  </w:t>
      </w:r>
      <w:r>
        <w:rPr>
          <w:rFonts w:hint="eastAsia" w:ascii="宋体" w:hAnsi="宋体"/>
          <w:color w:val="auto"/>
          <w:szCs w:val="21"/>
          <w:highlight w:val="none"/>
        </w:rPr>
        <w:t>方所有，且乙方承诺其在本合同项下所利用的技术及资料等不侵犯其它第三方权利，由于乙方侵权引起纠纷的相关责任及后果均由乙方承担。</w:t>
      </w:r>
    </w:p>
    <w:p w14:paraId="6235DFBA">
      <w:pPr>
        <w:spacing w:line="4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、乙方合同履行过程中导致自身、甲方或其他任何第三方人身或财产损失的，由乙方自行承担损害赔偿责任。</w:t>
      </w:r>
    </w:p>
    <w:p w14:paraId="4274C7F0">
      <w:pPr>
        <w:spacing w:line="46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、乙方提供专项环境影响报告书存在虚假、错误、遗漏等履责不尽职情形的，因此导致的一切不利后果及损害赔偿责任由乙方承担，且甲方有权要求乙方退还已收取的费用</w:t>
      </w:r>
      <w:r>
        <w:rPr>
          <w:rFonts w:hint="eastAsia" w:ascii="宋体" w:hAnsi="宋体"/>
          <w:color w:val="auto"/>
          <w:szCs w:val="21"/>
          <w:highlight w:val="none"/>
          <w:lang w:eastAsia="zh-CN"/>
        </w:rPr>
        <w:t>，</w:t>
      </w:r>
      <w:r>
        <w:rPr>
          <w:rFonts w:hint="eastAsia" w:ascii="宋体" w:hAnsi="宋体"/>
          <w:color w:val="auto"/>
          <w:szCs w:val="21"/>
          <w:highlight w:val="none"/>
        </w:rPr>
        <w:t>有权要求乙方支付违约金 10 万元</w:t>
      </w:r>
      <w:r>
        <w:rPr>
          <w:rFonts w:hint="eastAsia" w:ascii="宋体" w:hAnsi="宋体"/>
          <w:color w:val="auto"/>
          <w:szCs w:val="21"/>
        </w:rPr>
        <w:t>并赔偿甲方因此造成的全部损失</w:t>
      </w:r>
      <w:r>
        <w:rPr>
          <w:rFonts w:hint="eastAsia" w:ascii="宋体" w:hAnsi="宋体"/>
          <w:color w:val="auto"/>
          <w:szCs w:val="21"/>
          <w:highlight w:val="none"/>
        </w:rPr>
        <w:t>。</w:t>
      </w:r>
    </w:p>
    <w:p w14:paraId="0679310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第十条：双方确定，在本合同</w:t>
      </w:r>
      <w:r>
        <w:rPr>
          <w:rFonts w:hint="eastAsia" w:ascii="宋体" w:hAnsi="宋体"/>
          <w:color w:val="auto"/>
          <w:szCs w:val="21"/>
          <w:lang w:val="en-US" w:eastAsia="zh-CN"/>
        </w:rPr>
        <w:t>履行</w:t>
      </w:r>
      <w:r>
        <w:rPr>
          <w:rFonts w:hint="eastAsia" w:ascii="宋体" w:hAnsi="宋体"/>
          <w:color w:val="auto"/>
          <w:szCs w:val="21"/>
          <w:highlight w:val="none"/>
        </w:rPr>
        <w:t xml:space="preserve">期内，甲方指定 </w:t>
      </w:r>
      <w:r>
        <w:rPr>
          <w:rFonts w:hint="eastAsia" w:ascii="宋体" w:hAnsi="宋体"/>
          <w:color w:val="auto"/>
          <w:szCs w:val="21"/>
          <w:highlight w:val="none"/>
          <w:u w:val="single"/>
        </w:rPr>
        <w:t xml:space="preserve">             </w:t>
      </w:r>
      <w:r>
        <w:rPr>
          <w:rFonts w:hint="eastAsia" w:ascii="宋体" w:hAnsi="宋体"/>
          <w:color w:val="auto"/>
          <w:szCs w:val="21"/>
          <w:highlight w:val="none"/>
        </w:rPr>
        <w:t>为甲方项目联系人，乙方指定</w:t>
      </w:r>
      <w:r>
        <w:rPr>
          <w:rFonts w:hint="eastAsia" w:ascii="宋体" w:hAnsi="宋体"/>
          <w:color w:val="auto"/>
          <w:szCs w:val="21"/>
          <w:highlight w:val="none"/>
          <w:u w:val="single"/>
        </w:rPr>
        <w:t xml:space="preserve">          </w:t>
      </w:r>
      <w:r>
        <w:rPr>
          <w:rFonts w:hint="eastAsia" w:ascii="宋体" w:hAnsi="宋体"/>
          <w:color w:val="auto"/>
          <w:szCs w:val="21"/>
          <w:highlight w:val="none"/>
        </w:rPr>
        <w:t>为乙方项目联系人。项目联系人承担以下责任：</w:t>
      </w:r>
    </w:p>
    <w:p w14:paraId="60E71D77">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b/>
          <w:color w:val="auto"/>
          <w:szCs w:val="21"/>
          <w:highlight w:val="none"/>
          <w:u w:val="single"/>
        </w:rPr>
        <w:t>协调甲乙双方的工作安排</w:t>
      </w:r>
      <w:r>
        <w:rPr>
          <w:rFonts w:hint="eastAsia" w:ascii="宋体" w:hAnsi="宋体"/>
          <w:b/>
          <w:color w:val="auto"/>
          <w:szCs w:val="21"/>
          <w:highlight w:val="none"/>
        </w:rPr>
        <w:t>；</w:t>
      </w:r>
      <w:r>
        <w:rPr>
          <w:rFonts w:hint="eastAsia" w:ascii="宋体" w:hAnsi="宋体"/>
          <w:color w:val="auto"/>
          <w:szCs w:val="21"/>
          <w:highlight w:val="none"/>
        </w:rPr>
        <w:t xml:space="preserve">                                              </w:t>
      </w:r>
    </w:p>
    <w:p w14:paraId="0941DD96">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w:t>
      </w:r>
      <w:r>
        <w:rPr>
          <w:rFonts w:hint="eastAsia" w:ascii="宋体" w:hAnsi="宋体"/>
          <w:b/>
          <w:color w:val="auto"/>
          <w:szCs w:val="21"/>
          <w:highlight w:val="none"/>
          <w:u w:val="single"/>
        </w:rPr>
        <w:t>负责进度的落实</w:t>
      </w:r>
      <w:r>
        <w:rPr>
          <w:rFonts w:hint="eastAsia" w:ascii="宋体" w:hAnsi="宋体"/>
          <w:b/>
          <w:color w:val="auto"/>
          <w:szCs w:val="21"/>
          <w:highlight w:val="none"/>
        </w:rPr>
        <w:t>。</w:t>
      </w:r>
      <w:r>
        <w:rPr>
          <w:rFonts w:hint="eastAsia" w:ascii="宋体" w:hAnsi="宋体"/>
          <w:color w:val="auto"/>
          <w:szCs w:val="21"/>
          <w:highlight w:val="none"/>
        </w:rPr>
        <w:t xml:space="preserve">                                                        </w:t>
      </w:r>
    </w:p>
    <w:p w14:paraId="6407DDE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一方变更项目联系人的，应当及时以书面形式通知另一方。未及时通知并影响本合同履行或造成损失的，应承担相应的责任。</w:t>
      </w:r>
    </w:p>
    <w:p w14:paraId="14F5500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第十一条：双方确定，出现下列情形，致使本合同的履行成为不必要或不可能的，可以解除本合同：</w:t>
      </w:r>
    </w:p>
    <w:p w14:paraId="11D33D2B">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1．发生不可抗力。</w:t>
      </w:r>
    </w:p>
    <w:p w14:paraId="39D8D37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第十二条：双方因履行本合同而发生的争议，应协商、调解解决。协商、调解不成的依法向</w:t>
      </w:r>
      <w:r>
        <w:rPr>
          <w:rFonts w:hint="eastAsia" w:ascii="宋体" w:hAnsi="宋体"/>
          <w:color w:val="auto"/>
          <w:szCs w:val="21"/>
          <w:highlight w:val="none"/>
          <w:u w:val="single"/>
        </w:rPr>
        <w:t>甲方</w:t>
      </w:r>
      <w:r>
        <w:rPr>
          <w:rFonts w:hint="eastAsia" w:ascii="宋体" w:hAnsi="宋体"/>
          <w:color w:val="auto"/>
          <w:szCs w:val="21"/>
          <w:highlight w:val="none"/>
        </w:rPr>
        <w:t>所在地人民法院起诉。</w:t>
      </w:r>
    </w:p>
    <w:p w14:paraId="506BA4A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第十三条：本合同一式</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肆</w:t>
      </w:r>
      <w:r>
        <w:rPr>
          <w:rFonts w:hint="eastAsia" w:ascii="宋体" w:hAnsi="宋体"/>
          <w:color w:val="auto"/>
          <w:szCs w:val="21"/>
          <w:highlight w:val="none"/>
          <w:u w:val="single"/>
        </w:rPr>
        <w:t xml:space="preserve">  </w:t>
      </w:r>
      <w:r>
        <w:rPr>
          <w:rFonts w:hint="eastAsia" w:ascii="宋体" w:hAnsi="宋体"/>
          <w:color w:val="auto"/>
          <w:szCs w:val="21"/>
          <w:highlight w:val="none"/>
        </w:rPr>
        <w:t>份，具有同等法律效力。</w:t>
      </w:r>
      <w:r>
        <w:rPr>
          <w:rFonts w:hint="eastAsia" w:ascii="宋体" w:hAnsi="宋体"/>
          <w:color w:val="auto"/>
          <w:highlight w:val="none"/>
        </w:rPr>
        <w:t>甲乙双方各执</w:t>
      </w:r>
      <w:r>
        <w:rPr>
          <w:rFonts w:hint="eastAsia" w:ascii="宋体" w:hAnsi="宋体"/>
          <w:b/>
          <w:color w:val="auto"/>
          <w:szCs w:val="21"/>
          <w:highlight w:val="none"/>
          <w:u w:val="single"/>
        </w:rPr>
        <w:t xml:space="preserve">  贰  </w:t>
      </w:r>
      <w:r>
        <w:rPr>
          <w:rFonts w:hint="eastAsia" w:ascii="宋体" w:hAnsi="宋体"/>
          <w:color w:val="auto"/>
          <w:highlight w:val="none"/>
        </w:rPr>
        <w:t>份。</w:t>
      </w:r>
    </w:p>
    <w:p w14:paraId="72B02B1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第十四条：本合同经双方签字盖章后生效，合同</w:t>
      </w:r>
      <w:r>
        <w:rPr>
          <w:rFonts w:hint="eastAsia" w:ascii="宋体" w:hAnsi="宋体"/>
          <w:color w:val="auto"/>
          <w:szCs w:val="21"/>
          <w:lang w:val="en-US" w:eastAsia="zh-CN"/>
        </w:rPr>
        <w:t>履行</w:t>
      </w:r>
      <w:r>
        <w:rPr>
          <w:rFonts w:hint="eastAsia" w:ascii="宋体" w:hAnsi="宋体"/>
          <w:color w:val="auto"/>
          <w:szCs w:val="21"/>
          <w:highlight w:val="none"/>
        </w:rPr>
        <w:t>期至完成本合同所有工作内容终止</w:t>
      </w:r>
      <w:r>
        <w:rPr>
          <w:rFonts w:hint="eastAsia" w:ascii="宋体" w:hAnsi="宋体"/>
          <w:color w:val="auto"/>
          <w:szCs w:val="21"/>
        </w:rPr>
        <w:t>（含乙方提供免费服务期间）</w:t>
      </w:r>
      <w:r>
        <w:rPr>
          <w:rFonts w:hint="eastAsia" w:ascii="宋体" w:hAnsi="宋体"/>
          <w:color w:val="auto"/>
          <w:szCs w:val="21"/>
          <w:highlight w:val="none"/>
        </w:rPr>
        <w:t>。</w:t>
      </w:r>
    </w:p>
    <w:p w14:paraId="16B8108B">
      <w:pPr>
        <w:spacing w:line="360" w:lineRule="auto"/>
        <w:ind w:firstLine="315" w:firstLineChars="150"/>
        <w:rPr>
          <w:rFonts w:ascii="宋体" w:hAnsi="宋体"/>
          <w:color w:val="auto"/>
          <w:szCs w:val="21"/>
          <w:highlight w:val="none"/>
        </w:rPr>
      </w:pPr>
    </w:p>
    <w:p w14:paraId="133EE2CD">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附件：1、廉洁协议书</w:t>
      </w:r>
    </w:p>
    <w:p w14:paraId="2DF9EF03">
      <w:pPr>
        <w:spacing w:line="360" w:lineRule="auto"/>
        <w:ind w:firstLine="1155" w:firstLineChars="550"/>
        <w:rPr>
          <w:rFonts w:ascii="宋体" w:hAnsi="宋体"/>
          <w:color w:val="auto"/>
          <w:szCs w:val="21"/>
          <w:highlight w:val="none"/>
        </w:rPr>
      </w:pPr>
      <w:r>
        <w:rPr>
          <w:rFonts w:hint="eastAsia" w:ascii="宋体" w:hAnsi="宋体"/>
          <w:color w:val="auto"/>
          <w:szCs w:val="21"/>
          <w:highlight w:val="none"/>
        </w:rPr>
        <w:t>2、合作伙伴合规承诺书</w:t>
      </w:r>
    </w:p>
    <w:p w14:paraId="616803A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      3、</w:t>
      </w:r>
      <w:r>
        <w:rPr>
          <w:rFonts w:hint="eastAsia" w:ascii="宋体" w:hAnsi="宋体" w:cs="宋体"/>
          <w:color w:val="auto"/>
          <w:sz w:val="22"/>
          <w:szCs w:val="22"/>
          <w:highlight w:val="none"/>
        </w:rPr>
        <w:t>保密协议</w:t>
      </w:r>
    </w:p>
    <w:p w14:paraId="07E05C74">
      <w:pPr>
        <w:spacing w:line="360" w:lineRule="auto"/>
        <w:ind w:firstLine="525" w:firstLineChars="250"/>
        <w:rPr>
          <w:rFonts w:ascii="宋体" w:hAnsi="宋体"/>
          <w:color w:val="auto"/>
          <w:szCs w:val="21"/>
          <w:highlight w:val="none"/>
        </w:rPr>
      </w:pPr>
    </w:p>
    <w:p w14:paraId="66C2D265">
      <w:pPr>
        <w:pStyle w:val="29"/>
        <w:ind w:left="1155" w:leftChars="550" w:firstLine="0" w:firstLineChars="0"/>
        <w:rPr>
          <w:color w:val="auto"/>
          <w:highlight w:val="none"/>
        </w:rPr>
      </w:pPr>
    </w:p>
    <w:p w14:paraId="08C1AB97">
      <w:pPr>
        <w:pStyle w:val="29"/>
        <w:ind w:firstLine="400"/>
        <w:rPr>
          <w:color w:val="auto"/>
          <w:highlight w:val="none"/>
        </w:rPr>
      </w:pPr>
    </w:p>
    <w:p w14:paraId="66D56B9C">
      <w:pPr>
        <w:widowControl/>
        <w:rPr>
          <w:rFonts w:ascii="宋体" w:hAnsi="宋体" w:cs="宋体"/>
          <w:color w:val="auto"/>
          <w:sz w:val="22"/>
          <w:szCs w:val="22"/>
          <w:highlight w:val="none"/>
        </w:rPr>
      </w:pPr>
    </w:p>
    <w:p w14:paraId="34F01B7B">
      <w:pPr>
        <w:widowControl/>
        <w:rPr>
          <w:rFonts w:ascii="宋体" w:hAnsi="宋体" w:cs="宋体"/>
          <w:color w:val="auto"/>
          <w:sz w:val="22"/>
          <w:szCs w:val="22"/>
          <w:highlight w:val="none"/>
        </w:rPr>
      </w:pPr>
      <w:r>
        <w:rPr>
          <w:rFonts w:hint="eastAsia" w:ascii="宋体" w:hAnsi="宋体" w:cs="宋体"/>
          <w:color w:val="auto"/>
          <w:sz w:val="22"/>
          <w:szCs w:val="22"/>
          <w:highlight w:val="none"/>
        </w:rPr>
        <w:t xml:space="preserve">甲方：                                     乙方： </w:t>
      </w:r>
    </w:p>
    <w:p w14:paraId="5883B91F">
      <w:pPr>
        <w:pStyle w:val="84"/>
        <w:spacing w:line="360" w:lineRule="auto"/>
        <w:rPr>
          <w:rFonts w:ascii="宋体" w:hAnsi="宋体" w:cs="宋体"/>
          <w:color w:val="auto"/>
          <w:sz w:val="22"/>
          <w:highlight w:val="none"/>
        </w:rPr>
      </w:pPr>
      <w:r>
        <w:rPr>
          <w:rFonts w:hint="eastAsia" w:ascii="宋体" w:hAnsi="宋体" w:cs="宋体"/>
          <w:color w:val="auto"/>
          <w:sz w:val="22"/>
          <w:highlight w:val="none"/>
        </w:rPr>
        <w:t>（盖单位章）                              （盖单位章）</w:t>
      </w:r>
    </w:p>
    <w:p w14:paraId="5BA607BF">
      <w:pPr>
        <w:pStyle w:val="84"/>
        <w:spacing w:line="360" w:lineRule="auto"/>
        <w:rPr>
          <w:rFonts w:ascii="宋体" w:hAnsi="宋体" w:cs="宋体"/>
          <w:color w:val="auto"/>
          <w:sz w:val="22"/>
          <w:highlight w:val="none"/>
        </w:rPr>
      </w:pPr>
      <w:r>
        <w:rPr>
          <w:rFonts w:hint="eastAsia" w:ascii="宋体" w:hAnsi="宋体" w:cs="宋体"/>
          <w:color w:val="auto"/>
          <w:sz w:val="22"/>
          <w:highlight w:val="none"/>
        </w:rPr>
        <w:t>法定代表人或其委托代理人：</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法定代表人或其委托代理人：</w:t>
      </w:r>
      <w:r>
        <w:rPr>
          <w:rFonts w:hint="eastAsia" w:ascii="宋体" w:hAnsi="宋体" w:cs="宋体"/>
          <w:color w:val="auto"/>
          <w:sz w:val="22"/>
          <w:highlight w:val="none"/>
          <w:u w:val="single"/>
        </w:rPr>
        <w:t xml:space="preserve">            </w:t>
      </w:r>
    </w:p>
    <w:p w14:paraId="46C1AF62">
      <w:pPr>
        <w:pStyle w:val="84"/>
        <w:spacing w:line="360" w:lineRule="auto"/>
        <w:rPr>
          <w:rFonts w:ascii="宋体" w:hAnsi="宋体" w:cs="宋体"/>
          <w:color w:val="auto"/>
          <w:sz w:val="22"/>
          <w:highlight w:val="none"/>
          <w:u w:val="single"/>
        </w:rPr>
      </w:pPr>
      <w:r>
        <w:rPr>
          <w:rFonts w:hint="eastAsia" w:ascii="宋体" w:hAnsi="宋体" w:cs="宋体"/>
          <w:color w:val="auto"/>
          <w:sz w:val="22"/>
          <w:highlight w:val="none"/>
        </w:rPr>
        <w:t>（签字或盖章）                             （签字或盖章）</w:t>
      </w:r>
    </w:p>
    <w:p w14:paraId="418B5481">
      <w:pPr>
        <w:pStyle w:val="84"/>
        <w:spacing w:line="360" w:lineRule="auto"/>
        <w:ind w:firstLine="1760" w:firstLineChars="80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月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w:t>
      </w:r>
    </w:p>
    <w:p w14:paraId="35C5B8BD">
      <w:pPr>
        <w:spacing w:line="360" w:lineRule="auto"/>
        <w:ind w:firstLine="422" w:firstLineChars="201"/>
        <w:rPr>
          <w:rFonts w:ascii="宋体" w:hAnsi="宋体"/>
          <w:color w:val="auto"/>
          <w:szCs w:val="21"/>
          <w:highlight w:val="none"/>
        </w:rPr>
      </w:pPr>
    </w:p>
    <w:p w14:paraId="213BC959">
      <w:pPr>
        <w:pStyle w:val="29"/>
        <w:spacing w:after="0" w:line="360" w:lineRule="auto"/>
        <w:ind w:left="0" w:leftChars="0" w:firstLine="0" w:firstLineChars="0"/>
        <w:rPr>
          <w:rFonts w:hAnsi="宋体" w:cs="宋体"/>
          <w:b/>
          <w:bCs/>
          <w:color w:val="auto"/>
          <w:kern w:val="2"/>
          <w:sz w:val="24"/>
          <w:highlight w:val="none"/>
        </w:rPr>
      </w:pPr>
      <w:bookmarkStart w:id="93" w:name="_Toc14183364"/>
      <w:bookmarkStart w:id="94" w:name="_Toc512612315"/>
    </w:p>
    <w:p w14:paraId="2045D97B">
      <w:pPr>
        <w:pStyle w:val="29"/>
        <w:spacing w:after="0" w:line="360" w:lineRule="auto"/>
        <w:ind w:left="0" w:leftChars="0" w:firstLine="0" w:firstLineChars="0"/>
        <w:rPr>
          <w:rFonts w:hAnsi="宋体" w:cs="宋体"/>
          <w:b/>
          <w:bCs/>
          <w:color w:val="auto"/>
          <w:kern w:val="2"/>
          <w:sz w:val="24"/>
          <w:highlight w:val="none"/>
        </w:rPr>
      </w:pPr>
    </w:p>
    <w:p w14:paraId="280B8FCA">
      <w:pPr>
        <w:pStyle w:val="29"/>
        <w:spacing w:after="0" w:line="360" w:lineRule="auto"/>
        <w:ind w:left="0" w:leftChars="0" w:firstLine="0" w:firstLineChars="0"/>
        <w:rPr>
          <w:rFonts w:hAnsi="宋体" w:cs="宋体"/>
          <w:b/>
          <w:bCs/>
          <w:color w:val="auto"/>
          <w:kern w:val="2"/>
          <w:sz w:val="24"/>
          <w:highlight w:val="none"/>
        </w:rPr>
      </w:pPr>
    </w:p>
    <w:p w14:paraId="6AF9E0FD">
      <w:pPr>
        <w:pStyle w:val="29"/>
        <w:spacing w:after="0" w:line="360" w:lineRule="auto"/>
        <w:ind w:left="0" w:leftChars="0" w:firstLine="0" w:firstLineChars="0"/>
        <w:rPr>
          <w:rFonts w:hAnsi="宋体" w:cs="宋体"/>
          <w:b/>
          <w:bCs/>
          <w:color w:val="auto"/>
          <w:kern w:val="2"/>
          <w:sz w:val="24"/>
          <w:highlight w:val="none"/>
        </w:rPr>
      </w:pPr>
    </w:p>
    <w:p w14:paraId="60EBB5AB">
      <w:pPr>
        <w:pStyle w:val="29"/>
        <w:spacing w:after="0" w:line="360" w:lineRule="auto"/>
        <w:ind w:left="0" w:leftChars="0" w:firstLine="0" w:firstLineChars="0"/>
        <w:rPr>
          <w:rFonts w:hAnsi="宋体" w:cs="宋体"/>
          <w:b/>
          <w:bCs/>
          <w:color w:val="auto"/>
          <w:kern w:val="2"/>
          <w:sz w:val="24"/>
          <w:highlight w:val="none"/>
        </w:rPr>
      </w:pPr>
    </w:p>
    <w:bookmarkEnd w:id="93"/>
    <w:bookmarkEnd w:id="94"/>
    <w:p w14:paraId="60B85447">
      <w:pPr>
        <w:jc w:val="left"/>
        <w:rPr>
          <w:rFonts w:hAnsi="宋体" w:cs="宋体"/>
          <w:b/>
          <w:bCs/>
          <w:color w:val="auto"/>
          <w:sz w:val="24"/>
          <w:highlight w:val="none"/>
        </w:rPr>
      </w:pPr>
      <w:r>
        <w:rPr>
          <w:rFonts w:hAnsi="宋体" w:cs="宋体"/>
          <w:b/>
          <w:bCs/>
          <w:color w:val="auto"/>
          <w:sz w:val="24"/>
          <w:highlight w:val="none"/>
        </w:rPr>
        <w:br w:type="page"/>
      </w:r>
    </w:p>
    <w:p w14:paraId="67981CEC">
      <w:pPr>
        <w:spacing w:line="420" w:lineRule="exact"/>
        <w:jc w:val="left"/>
        <w:outlineLvl w:val="2"/>
        <w:rPr>
          <w:rFonts w:ascii="宋体" w:hAnsi="宋体"/>
          <w:b/>
          <w:color w:val="auto"/>
          <w:sz w:val="22"/>
          <w:szCs w:val="22"/>
          <w:highlight w:val="none"/>
        </w:rPr>
      </w:pPr>
      <w:r>
        <w:rPr>
          <w:rFonts w:hint="eastAsia" w:ascii="宋体" w:hAnsi="宋体"/>
          <w:b/>
          <w:color w:val="auto"/>
          <w:sz w:val="22"/>
          <w:szCs w:val="22"/>
          <w:highlight w:val="none"/>
        </w:rPr>
        <w:t>附件1</w:t>
      </w:r>
      <w:r>
        <w:rPr>
          <w:rFonts w:ascii="宋体" w:hAnsi="宋体"/>
          <w:b/>
          <w:color w:val="auto"/>
          <w:sz w:val="22"/>
          <w:szCs w:val="22"/>
          <w:highlight w:val="none"/>
        </w:rPr>
        <w:t xml:space="preserve"> </w:t>
      </w:r>
      <w:r>
        <w:rPr>
          <w:rFonts w:hint="eastAsia" w:ascii="宋体" w:hAnsi="宋体"/>
          <w:b/>
          <w:color w:val="auto"/>
          <w:sz w:val="22"/>
          <w:szCs w:val="22"/>
          <w:highlight w:val="none"/>
        </w:rPr>
        <w:t>廉洁协议书</w:t>
      </w:r>
    </w:p>
    <w:p w14:paraId="3A55BEC2">
      <w:pPr>
        <w:spacing w:line="440" w:lineRule="exact"/>
        <w:jc w:val="center"/>
        <w:rPr>
          <w:rFonts w:ascii="宋体" w:hAnsi="宋体"/>
          <w:b/>
          <w:color w:val="auto"/>
          <w:sz w:val="22"/>
          <w:szCs w:val="22"/>
          <w:highlight w:val="none"/>
        </w:rPr>
      </w:pPr>
      <w:r>
        <w:rPr>
          <w:rFonts w:hint="eastAsia" w:ascii="宋体" w:hAnsi="宋体"/>
          <w:b/>
          <w:color w:val="auto"/>
          <w:sz w:val="22"/>
          <w:szCs w:val="22"/>
          <w:highlight w:val="none"/>
        </w:rPr>
        <w:t>廉洁协议书</w:t>
      </w:r>
    </w:p>
    <w:p w14:paraId="519FBFDB">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甲方：</w:t>
      </w:r>
      <w:r>
        <w:rPr>
          <w:rFonts w:hint="eastAsia" w:ascii="宋体" w:hAnsi="宋体" w:cs="宋体"/>
          <w:color w:val="auto"/>
          <w:sz w:val="22"/>
          <w:szCs w:val="22"/>
          <w:highlight w:val="none"/>
          <w:u w:val="single"/>
        </w:rPr>
        <w:t>温州港乐清湾港务有限公司</w:t>
      </w:r>
      <w:r>
        <w:rPr>
          <w:rFonts w:hint="eastAsia" w:ascii="宋体" w:hAnsi="宋体" w:cs="宋体"/>
          <w:color w:val="auto"/>
          <w:sz w:val="22"/>
          <w:szCs w:val="22"/>
          <w:highlight w:val="none"/>
        </w:rPr>
        <w:t>（以下简称甲方）</w:t>
      </w:r>
    </w:p>
    <w:p w14:paraId="014869FC">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乙方：</w:t>
      </w:r>
      <w:r>
        <w:rPr>
          <w:rFonts w:hint="eastAsia" w:ascii="宋体" w:hAnsi="宋体"/>
          <w:color w:val="auto"/>
          <w:sz w:val="22"/>
          <w:szCs w:val="22"/>
          <w:highlight w:val="none"/>
          <w:u w:val="single"/>
        </w:rPr>
        <w:t xml:space="preserve">                        </w:t>
      </w:r>
      <w:r>
        <w:rPr>
          <w:rFonts w:hint="eastAsia" w:ascii="宋体" w:hAnsi="宋体" w:cs="宋体"/>
          <w:color w:val="auto"/>
          <w:sz w:val="22"/>
          <w:szCs w:val="22"/>
          <w:highlight w:val="none"/>
        </w:rPr>
        <w:t>（以下简称乙方）</w:t>
      </w:r>
    </w:p>
    <w:p w14:paraId="71A8044A">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为进一步完善监督制约机制，防止发生各种谋取不正当利益的违法违纪行为，促使双方工作人员在合同履行过程中廉洁自律、诚实守信，保护双方合法权益，根据国家有关法律法规及廉洁建设的规定，甲乙双方自愿签订本廉洁协议书。 </w:t>
      </w:r>
    </w:p>
    <w:p w14:paraId="51EBAF92">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第一条  甲乙双方的共同责任 </w:t>
      </w:r>
    </w:p>
    <w:p w14:paraId="077A4FA8">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（一）严格遵守合同对应的经济业务活动的法律法规及廉政建设的规定。 </w:t>
      </w:r>
    </w:p>
    <w:p w14:paraId="399B4CF7">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（二）严格履行合同约定，杜绝违约行为的发生。 </w:t>
      </w:r>
    </w:p>
    <w:p w14:paraId="224B4629">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（三）建立健全的自我制约制度，开展廉洁教育，监督并认真查处违法违纪行为。 </w:t>
      </w:r>
    </w:p>
    <w:p w14:paraId="6785B94E">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（四）发现对方在经济业务活动中有违反本协议约定的违法违纪行为的，有及时提醒和督促对方纠正的权利和义务；情节严重的，有权向有关监察部门检举、揭发。 </w:t>
      </w:r>
    </w:p>
    <w:p w14:paraId="6BADF575">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第二条  甲方的责任 </w:t>
      </w:r>
    </w:p>
    <w:p w14:paraId="5CE761F3">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（一）甲方工作人员应保持与乙方正常工作交往，不得接受乙方的礼金、有价证券和贵重物品，不得在乙方报销任何应由个人支付的费用，不得以任何形式向乙方索要和收受回扣或变相收受贿赂。 </w:t>
      </w:r>
    </w:p>
    <w:p w14:paraId="5A3AC73B">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（二）甲方工作人员不得参加有可能影响公正从业的乙方宴请和娱乐、健身等消费活动。 </w:t>
      </w:r>
    </w:p>
    <w:p w14:paraId="590AFA0C">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（三）甲方工作人员不得要求、暗示或者接收乙方为其住房装修、婚丧嫁娶、家属的工作安排以及出国等提供方便。 </w:t>
      </w:r>
    </w:p>
    <w:p w14:paraId="18CF9343">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（四）甲方工作人员不得向乙方介绍亲属或亲友从事与甲方工作有关的经济活动。</w:t>
      </w:r>
    </w:p>
    <w:p w14:paraId="06B0795A">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第三条  乙方的责任 </w:t>
      </w:r>
    </w:p>
    <w:p w14:paraId="3BBD67CF">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（一）乙方应当通过正常途径开展相关业务工作，不得向甲方工作人员及其关联亲属赠送礼金、有价证券和贵重物品等。 </w:t>
      </w:r>
    </w:p>
    <w:p w14:paraId="54A17CF3">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（二）乙方不得为谋取私利擅自与甲方工作人员及第三方单位就有关工作问题进行私下商谈或者达成默契。 </w:t>
      </w:r>
    </w:p>
    <w:p w14:paraId="0DB43346">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（三）乙方不得以洽谈业务、签订合同为借口，邀请甲方工作人员外出旅游和进入营业性高消费娱乐场所。 </w:t>
      </w:r>
    </w:p>
    <w:p w14:paraId="6D16EA39">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（四）乙方不得为甲方工作人员购置或者提供通信、交通工具、家电、高档办公用品等。  </w:t>
      </w:r>
    </w:p>
    <w:p w14:paraId="237FE06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（五）乙方如发现甲方工作人员有违反上述规定者，应向甲方领导或者甲方监察部门举报，甲方不得找借口对乙方进行报复。</w:t>
      </w:r>
    </w:p>
    <w:p w14:paraId="1C47AED4">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第四条 违约责任</w:t>
      </w:r>
    </w:p>
    <w:p w14:paraId="61A2F722">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（一）乙方违反本廉洁协议第三条规定的，一经查实，甲方有权立即解除主合同，停止一切合作，并由乙方承担解约的全部损失；涉嫌犯罪的，移送司法机关依法追究刑事责任。</w:t>
      </w:r>
    </w:p>
    <w:p w14:paraId="7667D522">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（二）乙方发生两次以上违反廉洁协议约定内容，甲方有权将乙方列入黑名单，禁止3-5年内或终身进入甲方市场；给甲方造成经济损失、影响较大的，甲方有权立即单方面终止合同，且甲方不承担任何违约责任。 </w:t>
      </w:r>
    </w:p>
    <w:p w14:paraId="76CDA30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第五条  其他</w:t>
      </w:r>
    </w:p>
    <w:p w14:paraId="3A50BE2F">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（一）本协议不影响乙方按主合同其它条款承担相关责任。</w:t>
      </w:r>
    </w:p>
    <w:p w14:paraId="14E101CF">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（二）</w:t>
      </w:r>
      <w:r>
        <w:rPr>
          <w:rFonts w:ascii="宋体" w:hAnsi="宋体" w:cs="宋体"/>
          <w:color w:val="auto"/>
          <w:sz w:val="22"/>
          <w:szCs w:val="22"/>
          <w:highlight w:val="none"/>
        </w:rPr>
        <w:t>此</w:t>
      </w:r>
      <w:r>
        <w:rPr>
          <w:rFonts w:hint="eastAsia" w:ascii="宋体" w:hAnsi="宋体" w:cs="宋体"/>
          <w:color w:val="auto"/>
          <w:sz w:val="22"/>
          <w:szCs w:val="22"/>
          <w:highlight w:val="none"/>
        </w:rPr>
        <w:t>协议</w:t>
      </w:r>
      <w:r>
        <w:rPr>
          <w:rFonts w:ascii="宋体" w:hAnsi="宋体" w:cs="宋体"/>
          <w:color w:val="auto"/>
          <w:sz w:val="22"/>
          <w:szCs w:val="22"/>
          <w:highlight w:val="none"/>
        </w:rPr>
        <w:t>书的未尽事宜或因国家及上级有关法规发生变更，甲、乙双方可共同协商修改</w:t>
      </w:r>
      <w:r>
        <w:rPr>
          <w:rFonts w:hint="eastAsia" w:ascii="宋体" w:hAnsi="宋体" w:cs="宋体"/>
          <w:color w:val="auto"/>
          <w:sz w:val="22"/>
          <w:szCs w:val="22"/>
          <w:highlight w:val="none"/>
        </w:rPr>
        <w:t>协议</w:t>
      </w:r>
      <w:r>
        <w:rPr>
          <w:rFonts w:ascii="宋体" w:hAnsi="宋体" w:cs="宋体"/>
          <w:color w:val="auto"/>
          <w:sz w:val="22"/>
          <w:szCs w:val="22"/>
          <w:highlight w:val="none"/>
        </w:rPr>
        <w:t>内容。</w:t>
      </w:r>
    </w:p>
    <w:p w14:paraId="50184C28">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（三）在执行本协议过程中产生的或与本协议有关的争议及分歧，参照主合同有关争议解决的方式执行。</w:t>
      </w:r>
    </w:p>
    <w:p w14:paraId="74F5F346">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（四）本协议一式两份，双方各执一份，自双方盖章并签字之日起生效，</w:t>
      </w:r>
      <w:r>
        <w:rPr>
          <w:rFonts w:ascii="宋体" w:hAnsi="宋体" w:cs="宋体"/>
          <w:color w:val="auto"/>
          <w:sz w:val="22"/>
          <w:szCs w:val="22"/>
          <w:highlight w:val="none"/>
        </w:rPr>
        <w:t>有效</w:t>
      </w:r>
      <w:r>
        <w:rPr>
          <w:rFonts w:hint="eastAsia" w:ascii="宋体" w:hAnsi="宋体" w:cs="宋体"/>
          <w:color w:val="auto"/>
          <w:sz w:val="22"/>
          <w:szCs w:val="22"/>
          <w:highlight w:val="none"/>
        </w:rPr>
        <w:t>期与合同一致。本协议作为双方签订的主合同的附件，与主合同具有同等法律效力，在主合同</w:t>
      </w:r>
      <w:r>
        <w:rPr>
          <w:rFonts w:ascii="宋体" w:hAnsi="宋体" w:cs="宋体"/>
          <w:color w:val="auto"/>
          <w:sz w:val="22"/>
          <w:szCs w:val="22"/>
          <w:highlight w:val="none"/>
        </w:rPr>
        <w:t>有效</w:t>
      </w:r>
      <w:r>
        <w:rPr>
          <w:rFonts w:hint="eastAsia" w:ascii="宋体" w:hAnsi="宋体" w:cs="宋体"/>
          <w:color w:val="auto"/>
          <w:sz w:val="22"/>
          <w:szCs w:val="22"/>
          <w:highlight w:val="none"/>
        </w:rPr>
        <w:t>期内不可撤销，主合同终止，此协议自动终止。</w:t>
      </w:r>
    </w:p>
    <w:p w14:paraId="33D4D967">
      <w:pPr>
        <w:spacing w:line="440" w:lineRule="exact"/>
        <w:ind w:firstLine="440" w:firstLineChars="200"/>
        <w:rPr>
          <w:rFonts w:ascii="宋体" w:hAnsi="宋体" w:cs="宋体"/>
          <w:color w:val="auto"/>
          <w:sz w:val="22"/>
          <w:szCs w:val="22"/>
          <w:highlight w:val="none"/>
        </w:rPr>
      </w:pPr>
    </w:p>
    <w:p w14:paraId="0B66571F">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甲方：（盖章）                 乙方：（盖章）</w:t>
      </w:r>
    </w:p>
    <w:p w14:paraId="72271B68">
      <w:pPr>
        <w:spacing w:line="440" w:lineRule="exact"/>
        <w:ind w:firstLine="440" w:firstLineChars="200"/>
        <w:rPr>
          <w:rFonts w:ascii="宋体" w:hAnsi="宋体" w:cs="宋体"/>
          <w:color w:val="auto"/>
          <w:sz w:val="22"/>
          <w:szCs w:val="22"/>
          <w:highlight w:val="none"/>
        </w:rPr>
      </w:pPr>
      <w:r>
        <w:rPr>
          <w:rFonts w:hint="eastAsia" w:ascii="宋体" w:hAnsi="宋体"/>
          <w:color w:val="auto"/>
          <w:sz w:val="22"/>
          <w:szCs w:val="22"/>
          <w:highlight w:val="none"/>
        </w:rPr>
        <w:t xml:space="preserve">温州港乐清湾港务有限公司               </w:t>
      </w:r>
    </w:p>
    <w:p w14:paraId="57362952">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法定代表人（或代理人）签字：      法定代表人（或代理人）签字： </w:t>
      </w:r>
    </w:p>
    <w:p w14:paraId="536BE1E3">
      <w:pPr>
        <w:spacing w:line="440" w:lineRule="exact"/>
        <w:ind w:firstLine="440" w:firstLineChars="200"/>
        <w:rPr>
          <w:rFonts w:ascii="宋体" w:hAnsi="宋体" w:cs="宋体"/>
          <w:color w:val="auto"/>
          <w:sz w:val="22"/>
          <w:szCs w:val="22"/>
          <w:highlight w:val="none"/>
        </w:rPr>
      </w:pPr>
    </w:p>
    <w:p w14:paraId="01D71B5B">
      <w:pPr>
        <w:pStyle w:val="2"/>
        <w:ind w:firstLine="220"/>
        <w:rPr>
          <w:color w:val="auto"/>
          <w:sz w:val="22"/>
          <w:szCs w:val="22"/>
          <w:highlight w:val="none"/>
        </w:rPr>
      </w:pPr>
    </w:p>
    <w:p w14:paraId="248D3478">
      <w:pPr>
        <w:adjustRightInd w:val="0"/>
        <w:snapToGri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签订日期：2026年  月  日       </w:t>
      </w:r>
    </w:p>
    <w:p w14:paraId="34034268">
      <w:pPr>
        <w:pStyle w:val="3"/>
        <w:rPr>
          <w:rFonts w:ascii="宋体" w:hAnsi="宋体"/>
          <w:color w:val="auto"/>
          <w:sz w:val="22"/>
          <w:szCs w:val="22"/>
          <w:highlight w:val="none"/>
        </w:rPr>
      </w:pPr>
    </w:p>
    <w:p w14:paraId="6E15A6C0">
      <w:pPr>
        <w:spacing w:line="400" w:lineRule="exact"/>
        <w:rPr>
          <w:rFonts w:ascii="宋体" w:hAnsi="宋体" w:cs="宋体"/>
          <w:b/>
          <w:color w:val="auto"/>
          <w:sz w:val="22"/>
          <w:szCs w:val="22"/>
          <w:highlight w:val="none"/>
        </w:rPr>
      </w:pPr>
    </w:p>
    <w:p w14:paraId="2639B120">
      <w:pPr>
        <w:spacing w:line="400" w:lineRule="exact"/>
        <w:rPr>
          <w:rFonts w:ascii="宋体" w:hAnsi="宋体" w:cs="宋体"/>
          <w:b/>
          <w:color w:val="auto"/>
          <w:sz w:val="22"/>
          <w:szCs w:val="22"/>
          <w:highlight w:val="none"/>
        </w:rPr>
      </w:pPr>
    </w:p>
    <w:p w14:paraId="37967D05">
      <w:pPr>
        <w:spacing w:line="440" w:lineRule="exact"/>
        <w:jc w:val="left"/>
        <w:rPr>
          <w:color w:val="auto"/>
          <w:sz w:val="22"/>
          <w:szCs w:val="22"/>
          <w:highlight w:val="none"/>
        </w:rPr>
      </w:pPr>
    </w:p>
    <w:p w14:paraId="7CC23D7A">
      <w:pPr>
        <w:spacing w:line="520" w:lineRule="exact"/>
        <w:ind w:firstLine="440" w:firstLineChars="200"/>
        <w:jc w:val="right"/>
        <w:rPr>
          <w:rFonts w:ascii="仿宋" w:hAnsi="仿宋" w:eastAsia="仿宋" w:cs="仿宋"/>
          <w:color w:val="auto"/>
          <w:sz w:val="22"/>
          <w:szCs w:val="22"/>
          <w:highlight w:val="none"/>
        </w:rPr>
      </w:pPr>
      <w:r>
        <w:rPr>
          <w:rFonts w:hint="eastAsia" w:ascii="宋体" w:hAnsi="宋体" w:cs="宋体"/>
          <w:color w:val="auto"/>
          <w:sz w:val="22"/>
          <w:szCs w:val="22"/>
          <w:highlight w:val="none"/>
        </w:rPr>
        <w:br w:type="page"/>
      </w:r>
    </w:p>
    <w:p w14:paraId="6EFC1B7E">
      <w:pPr>
        <w:spacing w:line="420" w:lineRule="exact"/>
        <w:jc w:val="left"/>
        <w:outlineLvl w:val="2"/>
        <w:rPr>
          <w:rFonts w:ascii="宋体" w:hAnsi="宋体" w:cs="宋体"/>
          <w:color w:val="auto"/>
          <w:kern w:val="0"/>
          <w:sz w:val="22"/>
          <w:szCs w:val="22"/>
          <w:highlight w:val="none"/>
        </w:rPr>
      </w:pPr>
      <w:r>
        <w:rPr>
          <w:rFonts w:hint="eastAsia" w:ascii="宋体" w:hAnsi="宋体" w:cs="宋体"/>
          <w:color w:val="auto"/>
          <w:kern w:val="0"/>
          <w:sz w:val="22"/>
          <w:szCs w:val="22"/>
          <w:highlight w:val="none"/>
        </w:rPr>
        <w:t>附件2合作伙伴合规承诺书</w:t>
      </w:r>
    </w:p>
    <w:p w14:paraId="39A9AF96">
      <w:pPr>
        <w:adjustRightInd w:val="0"/>
        <w:snapToGrid w:val="0"/>
        <w:spacing w:line="5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合作伙伴合规承诺书</w:t>
      </w:r>
    </w:p>
    <w:p w14:paraId="6F59E56D">
      <w:pPr>
        <w:spacing w:line="560" w:lineRule="exact"/>
        <w:ind w:firstLine="440" w:firstLineChars="200"/>
        <w:rPr>
          <w:rFonts w:ascii="宋体" w:hAnsi="宋体" w:cs="宋体"/>
          <w:color w:val="auto"/>
          <w:sz w:val="22"/>
          <w:szCs w:val="22"/>
          <w:highlight w:val="none"/>
        </w:rPr>
      </w:pPr>
    </w:p>
    <w:p w14:paraId="3A1A2515">
      <w:pPr>
        <w:spacing w:line="560" w:lineRule="exact"/>
        <w:ind w:firstLine="440" w:firstLineChars="200"/>
        <w:rPr>
          <w:rFonts w:ascii="宋体" w:hAnsi="宋体" w:cs="宋体"/>
          <w:color w:val="auto"/>
          <w:kern w:val="0"/>
          <w:sz w:val="22"/>
          <w:szCs w:val="22"/>
          <w:highlight w:val="none"/>
        </w:rPr>
      </w:pPr>
      <w:r>
        <w:rPr>
          <w:rFonts w:hint="eastAsia" w:ascii="宋体" w:hAnsi="宋体" w:cs="宋体"/>
          <w:color w:val="auto"/>
          <w:sz w:val="22"/>
          <w:szCs w:val="22"/>
          <w:highlight w:val="none"/>
        </w:rPr>
        <w:t>为满足温州港乐清湾港务有限公司</w:t>
      </w:r>
      <w:r>
        <w:rPr>
          <w:rFonts w:hint="eastAsia" w:ascii="宋体" w:hAnsi="宋体" w:cs="宋体"/>
          <w:color w:val="auto"/>
          <w:kern w:val="0"/>
          <w:sz w:val="22"/>
          <w:szCs w:val="22"/>
          <w:highlight w:val="none"/>
        </w:rPr>
        <w:t>合规管理要求，</w:t>
      </w:r>
      <w:r>
        <w:rPr>
          <w:rFonts w:hint="eastAsia" w:ascii="宋体" w:hAnsi="宋体" w:cs="宋体"/>
          <w:color w:val="auto"/>
          <w:sz w:val="22"/>
          <w:szCs w:val="22"/>
          <w:highlight w:val="none"/>
        </w:rPr>
        <w:t>规范合作伙伴</w:t>
      </w:r>
      <w:r>
        <w:rPr>
          <w:rFonts w:hint="eastAsia" w:ascii="宋体" w:hAnsi="宋体" w:cs="宋体"/>
          <w:color w:val="auto"/>
          <w:kern w:val="0"/>
          <w:sz w:val="22"/>
          <w:szCs w:val="22"/>
          <w:highlight w:val="none"/>
        </w:rPr>
        <w:t>市场交易行为，促进公平、公正交易，我方特作出以下承诺：</w:t>
      </w:r>
    </w:p>
    <w:p w14:paraId="45A9CB3C">
      <w:pPr>
        <w:spacing w:line="5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1.我方理解温州港乐清湾港务有限公司合规管理需求，在合作范围内遵守温州港乐清湾港务有限公司对合作伙伴的合规管理要求。</w:t>
      </w:r>
    </w:p>
    <w:p w14:paraId="744CEF92">
      <w:pPr>
        <w:spacing w:line="5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2.我方具有合同订立的主体资格，具有良好的资信和履约能力，能够有效履行合同义务。</w:t>
      </w:r>
    </w:p>
    <w:p w14:paraId="463FE631">
      <w:pPr>
        <w:spacing w:line="5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3.我方严格遵守国家法律法规，恪守商业道德和职业道德规范，不从事并抵制任何不廉洁行为，严格履行以下合规义务：</w:t>
      </w:r>
    </w:p>
    <w:p w14:paraId="600C7624">
      <w:pPr>
        <w:spacing w:line="5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（一）我方员工严格遵守《中华人民共和国反不正当竞争法》等有关商业贿赂行为的禁止性规定，坚决抵制商业贿赂。</w:t>
      </w:r>
    </w:p>
    <w:p w14:paraId="1FBC444E">
      <w:pPr>
        <w:spacing w:line="5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（二）我方员工不得给予温州港乐清湾港务有限公司及相关单位或个人的任何不正当馈赠。</w:t>
      </w:r>
    </w:p>
    <w:p w14:paraId="5E8C65DD">
      <w:pPr>
        <w:spacing w:line="5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（三）我方员工不得接受温州港乐清湾港务有限公司及相关单位或个人的任何不正当馈赠。</w:t>
      </w:r>
    </w:p>
    <w:p w14:paraId="7436D096">
      <w:pPr>
        <w:spacing w:line="5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（四）我方员工不得参加温州港乐清湾港务有限公司及有关单位安排的可能影响公正廉洁的宴请、旅游、考察等活动。</w:t>
      </w:r>
    </w:p>
    <w:p w14:paraId="55A74E87">
      <w:pPr>
        <w:spacing w:line="5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（五）我方员工不得从事其他可能影响廉洁商业的行为。</w:t>
      </w:r>
    </w:p>
    <w:p w14:paraId="674C61FD">
      <w:pPr>
        <w:spacing w:line="5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4.我方坚持诚信商业行为，依法依约保守温州港乐清湾港务有限公司的商业秘密。</w:t>
      </w:r>
    </w:p>
    <w:p w14:paraId="4EF0F355">
      <w:pPr>
        <w:spacing w:line="5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5.我方严守缔约精神，全面履行合同义务，不擅自变更、中止以及不履行合同，发生影响合同履行的突发事件时将及时通知温州港乐清湾港务有限公司。</w:t>
      </w:r>
    </w:p>
    <w:p w14:paraId="29CCE772">
      <w:pPr>
        <w:spacing w:line="5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6.我方同意在合同目的范围内配合温州港乐清湾港务有限公司的合规检查，不得隐瞒可能造成温州港乐清湾港务有限公司利益受损的信息。</w:t>
      </w:r>
    </w:p>
    <w:p w14:paraId="253A72FB">
      <w:pPr>
        <w:spacing w:line="5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我方承诺对本承诺书执行情况进行监督检查，我方或我方员工未遵守承诺事项，我方承诺自愿赔偿由此给温州港乐清湾港务有限公司造成的损失，或按相关合同约定承担违约责任，且温州港乐清湾港务有限公司有权终止相关合同。</w:t>
      </w:r>
    </w:p>
    <w:p w14:paraId="02120655">
      <w:pPr>
        <w:spacing w:line="5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本承诺函一式两份，经承诺人签字/盖章后生效，由承诺人和温州港乐清湾港务有限公司各保留一份。</w:t>
      </w:r>
    </w:p>
    <w:p w14:paraId="2F0BD7DA">
      <w:pPr>
        <w:spacing w:line="560" w:lineRule="exact"/>
        <w:ind w:firstLine="5280" w:firstLineChars="2400"/>
        <w:rPr>
          <w:rFonts w:ascii="宋体" w:hAnsi="宋体" w:cs="宋体"/>
          <w:color w:val="auto"/>
          <w:sz w:val="22"/>
          <w:szCs w:val="22"/>
          <w:highlight w:val="none"/>
        </w:rPr>
      </w:pPr>
    </w:p>
    <w:p w14:paraId="0DB678DA">
      <w:pPr>
        <w:spacing w:line="560" w:lineRule="exact"/>
        <w:ind w:firstLine="5280" w:firstLineChars="2400"/>
        <w:rPr>
          <w:rFonts w:ascii="宋体" w:hAnsi="宋体" w:cs="宋体"/>
          <w:color w:val="auto"/>
          <w:sz w:val="22"/>
          <w:szCs w:val="22"/>
          <w:highlight w:val="none"/>
        </w:rPr>
      </w:pPr>
    </w:p>
    <w:p w14:paraId="1422F07B">
      <w:pPr>
        <w:spacing w:line="560" w:lineRule="exact"/>
        <w:jc w:val="center"/>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承诺人（签字/盖章）：</w:t>
      </w:r>
      <w:r>
        <w:rPr>
          <w:rFonts w:hint="eastAsia" w:ascii="宋体" w:hAnsi="宋体" w:cs="宋体"/>
          <w:color w:val="auto"/>
          <w:sz w:val="22"/>
          <w:szCs w:val="22"/>
          <w:highlight w:val="none"/>
          <w:u w:val="single"/>
        </w:rPr>
        <w:t xml:space="preserve">            </w:t>
      </w:r>
    </w:p>
    <w:p w14:paraId="0D89FDFF">
      <w:pPr>
        <w:spacing w:line="560" w:lineRule="exact"/>
        <w:ind w:firstLine="440" w:firstLineChars="200"/>
        <w:jc w:val="right"/>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p>
    <w:p w14:paraId="265DAE52">
      <w:pPr>
        <w:spacing w:line="240" w:lineRule="auto"/>
        <w:ind w:firstLine="0" w:firstLineChars="0"/>
        <w:rPr>
          <w:rFonts w:ascii="宋体" w:hAnsi="宋体" w:cs="宋体"/>
          <w:color w:val="auto"/>
          <w:sz w:val="22"/>
          <w:szCs w:val="22"/>
          <w:highlight w:val="none"/>
        </w:rPr>
      </w:pPr>
      <w:r>
        <w:rPr>
          <w:rFonts w:hint="eastAsia" w:ascii="宋体" w:hAnsi="宋体" w:cs="宋体"/>
          <w:color w:val="auto"/>
          <w:sz w:val="22"/>
          <w:szCs w:val="22"/>
          <w:highlight w:val="none"/>
        </w:rPr>
        <w:br w:type="page"/>
      </w:r>
    </w:p>
    <w:p w14:paraId="2BF91352">
      <w:pPr>
        <w:pStyle w:val="29"/>
        <w:ind w:left="0" w:leftChars="0" w:firstLine="0" w:firstLineChars="0"/>
        <w:rPr>
          <w:rFonts w:ascii="宋体" w:hAnsi="宋体" w:cs="宋体"/>
          <w:color w:val="auto"/>
          <w:sz w:val="22"/>
          <w:szCs w:val="22"/>
          <w:highlight w:val="none"/>
        </w:rPr>
      </w:pPr>
      <w:r>
        <w:rPr>
          <w:rFonts w:hint="eastAsia" w:ascii="宋体" w:hAnsi="宋体" w:cs="宋体"/>
          <w:color w:val="auto"/>
          <w:sz w:val="22"/>
          <w:szCs w:val="22"/>
          <w:highlight w:val="none"/>
        </w:rPr>
        <w:t>附件3</w:t>
      </w:r>
    </w:p>
    <w:p w14:paraId="44BEE098">
      <w:pPr>
        <w:pStyle w:val="6"/>
        <w:keepNext w:val="0"/>
        <w:keepLines w:val="0"/>
        <w:spacing w:before="0" w:after="0" w:line="240" w:lineRule="auto"/>
        <w:jc w:val="center"/>
        <w:rPr>
          <w:rFonts w:ascii="宋体" w:hAnsi="宋体"/>
          <w:color w:val="auto"/>
          <w:sz w:val="28"/>
          <w:szCs w:val="28"/>
          <w:highlight w:val="none"/>
        </w:rPr>
      </w:pPr>
      <w:r>
        <w:rPr>
          <w:rFonts w:hint="eastAsia" w:ascii="宋体" w:hAnsi="宋体"/>
          <w:color w:val="auto"/>
          <w:sz w:val="28"/>
          <w:szCs w:val="28"/>
          <w:highlight w:val="none"/>
        </w:rPr>
        <w:t>保密协议</w:t>
      </w:r>
    </w:p>
    <w:p w14:paraId="79E61CE0">
      <w:pPr>
        <w:spacing w:line="360" w:lineRule="auto"/>
        <w:jc w:val="center"/>
        <w:rPr>
          <w:rFonts w:ascii="仿宋" w:hAnsi="仿宋" w:eastAsia="仿宋"/>
          <w:b/>
          <w:color w:val="auto"/>
          <w:sz w:val="28"/>
          <w:szCs w:val="28"/>
          <w:highlight w:val="none"/>
        </w:rPr>
      </w:pPr>
    </w:p>
    <w:p w14:paraId="1E1F5BF8">
      <w:pPr>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甲方：</w:t>
      </w:r>
      <w:r>
        <w:rPr>
          <w:rFonts w:hint="eastAsia" w:ascii="宋体" w:hAnsi="宋体" w:cs="宋体"/>
          <w:bCs/>
          <w:color w:val="auto"/>
          <w:kern w:val="0"/>
          <w:szCs w:val="21"/>
          <w:highlight w:val="none"/>
        </w:rPr>
        <w:t>温州港乐清湾港务有限公司</w:t>
      </w:r>
    </w:p>
    <w:p w14:paraId="0A1E4EFF">
      <w:pPr>
        <w:spacing w:line="360" w:lineRule="auto"/>
        <w:jc w:val="left"/>
        <w:rPr>
          <w:rFonts w:ascii="宋体" w:hAnsi="宋体" w:cs="宋体"/>
          <w:bCs/>
          <w:color w:val="auto"/>
          <w:kern w:val="0"/>
          <w:szCs w:val="21"/>
          <w:highlight w:val="none"/>
        </w:rPr>
      </w:pPr>
      <w:r>
        <w:rPr>
          <w:rFonts w:hint="eastAsia" w:ascii="宋体" w:hAnsi="宋体" w:cs="宋体"/>
          <w:bCs/>
          <w:color w:val="auto"/>
          <w:kern w:val="0"/>
          <w:szCs w:val="21"/>
          <w:highlight w:val="none"/>
        </w:rPr>
        <w:t>地址：</w:t>
      </w:r>
      <w:r>
        <w:rPr>
          <w:rFonts w:ascii="宋体" w:hAnsi="宋体" w:cs="宋体"/>
          <w:bCs/>
          <w:color w:val="auto"/>
          <w:kern w:val="0"/>
          <w:szCs w:val="21"/>
          <w:highlight w:val="none"/>
        </w:rPr>
        <w:t xml:space="preserve"> </w:t>
      </w:r>
      <w:r>
        <w:rPr>
          <w:rFonts w:hint="eastAsia" w:ascii="宋体" w:hAnsi="宋体" w:cs="宋体"/>
          <w:bCs/>
          <w:color w:val="auto"/>
          <w:kern w:val="0"/>
          <w:szCs w:val="21"/>
          <w:highlight w:val="none"/>
        </w:rPr>
        <w:t xml:space="preserve">              </w:t>
      </w:r>
    </w:p>
    <w:p w14:paraId="1EAE7D94">
      <w:pPr>
        <w:spacing w:line="360" w:lineRule="auto"/>
        <w:jc w:val="left"/>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联系人：        </w:t>
      </w:r>
      <w:r>
        <w:rPr>
          <w:rFonts w:ascii="宋体" w:hAnsi="宋体" w:cs="宋体"/>
          <w:bCs/>
          <w:color w:val="auto"/>
          <w:kern w:val="0"/>
          <w:szCs w:val="21"/>
          <w:highlight w:val="none"/>
        </w:rPr>
        <w:t xml:space="preserve">电话：               </w:t>
      </w:r>
    </w:p>
    <w:p w14:paraId="2614C78C">
      <w:pPr>
        <w:spacing w:line="360" w:lineRule="auto"/>
        <w:rPr>
          <w:rFonts w:ascii="宋体" w:hAnsi="宋体" w:cs="宋体"/>
          <w:bCs/>
          <w:color w:val="auto"/>
          <w:szCs w:val="21"/>
          <w:highlight w:val="none"/>
        </w:rPr>
      </w:pPr>
      <w:r>
        <w:rPr>
          <w:rFonts w:hint="eastAsia" w:ascii="宋体" w:hAnsi="宋体" w:cs="宋体"/>
          <w:b/>
          <w:color w:val="auto"/>
          <w:szCs w:val="21"/>
          <w:highlight w:val="none"/>
        </w:rPr>
        <w:t>乙方：</w:t>
      </w:r>
      <w:r>
        <w:rPr>
          <w:rFonts w:hint="eastAsia" w:ascii="宋体" w:hAnsi="宋体" w:cs="宋体"/>
          <w:bCs/>
          <w:color w:val="auto"/>
          <w:szCs w:val="21"/>
          <w:highlight w:val="none"/>
        </w:rPr>
        <w:t xml:space="preserve"> </w:t>
      </w:r>
    </w:p>
    <w:p w14:paraId="2B233E0C">
      <w:pPr>
        <w:spacing w:line="360" w:lineRule="auto"/>
        <w:jc w:val="left"/>
        <w:rPr>
          <w:rFonts w:ascii="宋体" w:hAnsi="宋体" w:cs="宋体"/>
          <w:bCs/>
          <w:color w:val="auto"/>
          <w:kern w:val="0"/>
          <w:szCs w:val="21"/>
          <w:highlight w:val="none"/>
        </w:rPr>
      </w:pPr>
      <w:r>
        <w:rPr>
          <w:rFonts w:hint="eastAsia" w:ascii="宋体" w:hAnsi="宋体" w:cs="宋体"/>
          <w:bCs/>
          <w:color w:val="auto"/>
          <w:kern w:val="0"/>
          <w:szCs w:val="21"/>
          <w:highlight w:val="none"/>
        </w:rPr>
        <w:t>地址：</w:t>
      </w:r>
      <w:r>
        <w:rPr>
          <w:rFonts w:ascii="宋体" w:hAnsi="宋体" w:cs="宋体"/>
          <w:bCs/>
          <w:color w:val="auto"/>
          <w:kern w:val="0"/>
          <w:szCs w:val="21"/>
          <w:highlight w:val="none"/>
        </w:rPr>
        <w:t xml:space="preserve"> </w:t>
      </w:r>
      <w:r>
        <w:rPr>
          <w:rFonts w:hint="eastAsia" w:ascii="宋体" w:hAnsi="宋体" w:cs="宋体"/>
          <w:bCs/>
          <w:color w:val="auto"/>
          <w:kern w:val="0"/>
          <w:szCs w:val="21"/>
          <w:highlight w:val="none"/>
        </w:rPr>
        <w:t xml:space="preserve">              </w:t>
      </w:r>
    </w:p>
    <w:p w14:paraId="5F327949">
      <w:pPr>
        <w:spacing w:line="360" w:lineRule="auto"/>
        <w:jc w:val="left"/>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联系人：        </w:t>
      </w:r>
      <w:r>
        <w:rPr>
          <w:rFonts w:ascii="宋体" w:hAnsi="宋体" w:cs="宋体"/>
          <w:bCs/>
          <w:color w:val="auto"/>
          <w:kern w:val="0"/>
          <w:szCs w:val="21"/>
          <w:highlight w:val="none"/>
        </w:rPr>
        <w:t xml:space="preserve">电话：               </w:t>
      </w:r>
    </w:p>
    <w:p w14:paraId="57E63C10">
      <w:pPr>
        <w:spacing w:line="360" w:lineRule="auto"/>
        <w:rPr>
          <w:rFonts w:ascii="宋体" w:hAnsi="宋体"/>
          <w:color w:val="auto"/>
          <w:sz w:val="18"/>
          <w:szCs w:val="21"/>
          <w:highlight w:val="none"/>
        </w:rPr>
      </w:pPr>
      <w:r>
        <w:rPr>
          <w:rFonts w:hint="eastAsia" w:ascii="宋体" w:hAnsi="宋体"/>
          <w:color w:val="auto"/>
          <w:sz w:val="18"/>
          <w:szCs w:val="18"/>
          <w:highlight w:val="none"/>
        </w:rPr>
        <w:t xml:space="preserve">      </w:t>
      </w:r>
    </w:p>
    <w:p w14:paraId="44BAD738">
      <w:pPr>
        <w:spacing w:line="336" w:lineRule="auto"/>
        <w:ind w:firstLine="435"/>
        <w:jc w:val="left"/>
        <w:rPr>
          <w:color w:val="auto"/>
          <w:szCs w:val="21"/>
          <w:highlight w:val="none"/>
        </w:rPr>
      </w:pPr>
      <w:r>
        <w:rPr>
          <w:rFonts w:hint="eastAsia"/>
          <w:color w:val="auto"/>
          <w:szCs w:val="21"/>
          <w:highlight w:val="none"/>
        </w:rPr>
        <w:t>甲乙双方之间拟开展</w:t>
      </w:r>
      <w:r>
        <w:rPr>
          <w:rFonts w:hint="eastAsia" w:ascii="宋体" w:hAnsi="宋体" w:cs="宋体"/>
          <w:color w:val="auto"/>
          <w:szCs w:val="21"/>
          <w:highlight w:val="none"/>
          <w:u w:val="single"/>
        </w:rPr>
        <w:t xml:space="preserve">                       </w:t>
      </w:r>
      <w:r>
        <w:rPr>
          <w:rFonts w:hint="eastAsia"/>
          <w:color w:val="auto"/>
          <w:szCs w:val="21"/>
          <w:highlight w:val="none"/>
        </w:rPr>
        <w:t>项目合作（且已经签订了合同编号为【   】的</w:t>
      </w:r>
      <w:r>
        <w:rPr>
          <w:rFonts w:hint="eastAsia"/>
          <w:color w:val="auto"/>
          <w:szCs w:val="21"/>
          <w:highlight w:val="none"/>
          <w:u w:val="single"/>
        </w:rPr>
        <w:t xml:space="preserve">    </w:t>
      </w:r>
      <w:r>
        <w:rPr>
          <w:rFonts w:hint="eastAsia"/>
          <w:color w:val="auto"/>
          <w:szCs w:val="21"/>
          <w:highlight w:val="none"/>
        </w:rPr>
        <w:t xml:space="preserve">合同，（简称“主合同”），如有），合同一方（以下称“披露方”）将向另一方（以下称“接收方”）披露相关信息或提供相关资料（以下简称“保密信息”），为了加强保密信息保护，防止因保密信息泄露给披露方造成不利影响和/或经济损失，经双方协商一致，于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日在</w:t>
      </w:r>
      <w:r>
        <w:rPr>
          <w:rFonts w:hint="eastAsia"/>
          <w:color w:val="auto"/>
          <w:szCs w:val="21"/>
          <w:highlight w:val="none"/>
          <w:u w:val="single"/>
        </w:rPr>
        <w:t xml:space="preserve">  </w:t>
      </w:r>
      <w:r>
        <w:rPr>
          <w:rFonts w:hint="eastAsia"/>
          <w:color w:val="auto"/>
          <w:szCs w:val="21"/>
          <w:highlight w:val="none"/>
        </w:rPr>
        <w:t>省</w:t>
      </w:r>
      <w:r>
        <w:rPr>
          <w:rFonts w:hint="eastAsia"/>
          <w:color w:val="auto"/>
          <w:szCs w:val="21"/>
          <w:highlight w:val="none"/>
          <w:u w:val="single"/>
        </w:rPr>
        <w:t xml:space="preserve">  </w:t>
      </w:r>
      <w:r>
        <w:rPr>
          <w:rFonts w:hint="eastAsia"/>
          <w:color w:val="auto"/>
          <w:szCs w:val="21"/>
          <w:highlight w:val="none"/>
        </w:rPr>
        <w:t>市</w:t>
      </w:r>
      <w:r>
        <w:rPr>
          <w:rFonts w:hint="eastAsia"/>
          <w:color w:val="auto"/>
          <w:szCs w:val="21"/>
          <w:highlight w:val="none"/>
          <w:u w:val="single"/>
        </w:rPr>
        <w:t xml:space="preserve">  </w:t>
      </w:r>
      <w:r>
        <w:rPr>
          <w:rFonts w:hint="eastAsia"/>
          <w:color w:val="auto"/>
          <w:szCs w:val="21"/>
          <w:highlight w:val="none"/>
        </w:rPr>
        <w:t>区（县）订立本协议。</w:t>
      </w:r>
    </w:p>
    <w:p w14:paraId="0CAE1EC2">
      <w:pPr>
        <w:spacing w:line="336" w:lineRule="auto"/>
        <w:ind w:firstLine="413" w:firstLineChars="196"/>
        <w:jc w:val="left"/>
        <w:rPr>
          <w:rFonts w:ascii="宋体" w:hAnsi="宋体" w:cs="宋体"/>
          <w:b/>
          <w:color w:val="auto"/>
          <w:kern w:val="0"/>
          <w:szCs w:val="21"/>
          <w:highlight w:val="none"/>
        </w:rPr>
      </w:pPr>
      <w:r>
        <w:rPr>
          <w:rFonts w:hint="eastAsia" w:ascii="宋体" w:hAnsi="宋体" w:cs="宋体"/>
          <w:b/>
          <w:color w:val="auto"/>
          <w:kern w:val="0"/>
          <w:szCs w:val="21"/>
          <w:highlight w:val="none"/>
        </w:rPr>
        <w:t>1.保密主体</w:t>
      </w:r>
    </w:p>
    <w:p w14:paraId="6961A174">
      <w:pPr>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接收方是保密主体，对从披露方处所获取的保密信息承担保密责任，本协议中的接收方和披露方为</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w:t>
      </w:r>
    </w:p>
    <w:p w14:paraId="60FA3BEC">
      <w:pPr>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（1）甲方为披露方，乙方为接收方；</w:t>
      </w:r>
    </w:p>
    <w:p w14:paraId="57C0C5A1">
      <w:pPr>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（2）乙方为披露方，甲方为接收方；</w:t>
      </w:r>
    </w:p>
    <w:p w14:paraId="65FAF549">
      <w:pPr>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（3）甲乙双方互为披露方和接收方。</w:t>
      </w:r>
    </w:p>
    <w:p w14:paraId="40F00646">
      <w:pPr>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本协议中接收方包括接收方、接收方的关联方、接收方和其关联方的董事、监事、管理人员和员工、接收方和其关联方聘请的中介服务机构。</w:t>
      </w:r>
    </w:p>
    <w:p w14:paraId="32F8737F">
      <w:pPr>
        <w:spacing w:line="336" w:lineRule="auto"/>
        <w:ind w:firstLine="413" w:firstLineChars="196"/>
        <w:jc w:val="left"/>
        <w:rPr>
          <w:rFonts w:ascii="宋体" w:hAnsi="宋体" w:cs="宋体"/>
          <w:b/>
          <w:color w:val="auto"/>
          <w:kern w:val="0"/>
          <w:szCs w:val="21"/>
          <w:highlight w:val="none"/>
        </w:rPr>
      </w:pPr>
      <w:r>
        <w:rPr>
          <w:rFonts w:hint="eastAsia" w:ascii="宋体" w:hAnsi="宋体" w:cs="宋体"/>
          <w:b/>
          <w:color w:val="auto"/>
          <w:kern w:val="0"/>
          <w:szCs w:val="21"/>
          <w:highlight w:val="none"/>
        </w:rPr>
        <w:t>2.保密信息</w:t>
      </w:r>
    </w:p>
    <w:p w14:paraId="4E8DAB6A">
      <w:pPr>
        <w:widowControl/>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 保密信息是指无论本协议签署之前或之后，披露方和/或其代表以口头方式和/或书面方式披露给接收方的与本项目相关的任何非公开信息，包括商业信息、技术信息以及其他具有保密性质的信息，无论这些信息是记载在纸质形式、电子数据形式，或者其他任何形式的载体上，无论是否由披露方明确标注“保密”字样，无论是由披露方、披露方的关联方、披露方和其关联方的董事、监事、管理人员和员工、披露方和其关联方聘请的中介服务机构、对披露方负有保密义务的任何第三方直接或间接向接收方披露的信息，均属保密信息。但下列信息不属于保密信息：</w:t>
      </w:r>
    </w:p>
    <w:p w14:paraId="4CE20282">
      <w:pPr>
        <w:widowControl/>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 披露前已成为公知信息，并可以在公众领域能自由查询到的信息；</w:t>
      </w:r>
    </w:p>
    <w:p w14:paraId="5CCBA456">
      <w:pPr>
        <w:widowControl/>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 披露后由披露方自行向公众领域公开的信息；</w:t>
      </w:r>
    </w:p>
    <w:p w14:paraId="07C4DFD8">
      <w:pPr>
        <w:widowControl/>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2.1.3 披露方明确表示无保密要求的信息；</w:t>
      </w:r>
    </w:p>
    <w:p w14:paraId="757341EA">
      <w:pPr>
        <w:widowControl/>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商业信息包括但不限于：会议记录、会议纪要、备忘录；经营战略、经营方针、经营规划、经营决策；采购信息、销售信息、价格方案、客户信息；业务流程；财务信息；规章制度、管理方法；企业发展规划、可行性分析资料；合同、协议、意向书及其他任何不被公众领域所知的信息；乙方主合同项下完成的工作成果；</w:t>
      </w:r>
    </w:p>
    <w:p w14:paraId="2050AEE8">
      <w:pPr>
        <w:widowControl/>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 技术信息包括但不限于：专利实施、技术方案；制造方法、配方、工艺流程；技术指标；工程设计、电路设计、计算机软件、数据库、源程序、技术报告、研发记录；检测报告；实验数据、试验结果；图纸、样品、模型、模具；操作手册及其他任何不被公众领域所知的信息；</w:t>
      </w:r>
    </w:p>
    <w:p w14:paraId="075E1007">
      <w:pPr>
        <w:widowControl/>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 根据法律或者相关协议约定披露方负有保密义务的第三方信息；</w:t>
      </w:r>
    </w:p>
    <w:p w14:paraId="47483C41">
      <w:pPr>
        <w:spacing w:line="336" w:lineRule="auto"/>
        <w:ind w:firstLine="413" w:firstLineChars="196"/>
        <w:jc w:val="left"/>
        <w:rPr>
          <w:rFonts w:ascii="宋体" w:hAnsi="宋体" w:cs="宋体"/>
          <w:b/>
          <w:color w:val="auto"/>
          <w:kern w:val="0"/>
          <w:szCs w:val="21"/>
          <w:highlight w:val="none"/>
        </w:rPr>
      </w:pPr>
      <w:r>
        <w:rPr>
          <w:rFonts w:hint="eastAsia" w:ascii="宋体" w:hAnsi="宋体" w:cs="宋体"/>
          <w:b/>
          <w:color w:val="auto"/>
          <w:kern w:val="0"/>
          <w:szCs w:val="21"/>
          <w:highlight w:val="none"/>
        </w:rPr>
        <w:t>3.保密要求</w:t>
      </w:r>
    </w:p>
    <w:p w14:paraId="2EB0DDD0">
      <w:pPr>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 接收方对于来自披露方或其他途径获悉的保密信息负有完全和严格的保密义务。除非为了执行本项目之目的，并经披露方事先书面同意，接收方不得为自己或他人的利益使用、允许使用、转让、复制、传授、泄漏保密信息；接收方不得对保密信息进行分析并从该等分析中获利；</w:t>
      </w:r>
    </w:p>
    <w:p w14:paraId="40BA0708">
      <w:pPr>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 接收方应以一切的合理手段且不低于接收方自身对类似保密信息所采取的措施来保护保密信息，并应严格限定接收方内部知悉保密信息的人员范围，接收方应要求其获悉秘密信息的所有人员采取必要的措施对收到的秘密信息进行保密，避免任何第三方及接收方的无关人员以任何方式获得此保密信息；</w:t>
      </w:r>
    </w:p>
    <w:p w14:paraId="0CE67692">
      <w:pPr>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 接收方保证其在合作中有必要知晓保密信息的符合第1.2条情形的所有人员，受到与本协议同等严格保密责任的约束，接收方应对前述人员违反保密要求的行为承担全部责任；</w:t>
      </w:r>
    </w:p>
    <w:p w14:paraId="6AE9B2CA">
      <w:pPr>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 接收方在收到任何第三方以任何方式发出的对于涉及本协议的保密信息的询问、求证、访问时，应以该保密信息不知情者的身份用“不知道、不清楚、不了解”等方式做出回复。任何类似于“是”或“不是”等明确的肯定或否定的答复均被视为对保密义务的违反；</w:t>
      </w:r>
    </w:p>
    <w:p w14:paraId="039FDA63">
      <w:pPr>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 披露方的保密信息的部分或个别要素虽被披露成为公知信息，但该信息的其它部分或整体尚未成为公知信息的，接收方仍应按本协议约定对未公开部分的信息履行保密义务；</w:t>
      </w:r>
    </w:p>
    <w:p w14:paraId="6D5D7C20">
      <w:pPr>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 因中华人民共和国监管部门要求提供，或者司法机关依职权要求接收方提供相关保密信息的，接收方应当自接到通知之日当天以书面形式告知披露方，并将监管部门或司法机关要求提供保密信息的法律文件原件（或加盖接收方印章的复印件）转给披露方，经披露方同意后方可提供；</w:t>
      </w:r>
    </w:p>
    <w:p w14:paraId="23D70DF4">
      <w:pPr>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 无论因为何种原因导致双方合作目的未予实现，接收方应当在披露方通知之日起3日内返还并销毁其所获取的所有保密信息及保密信息载体，接收方不得以任何理由和方式保留；</w:t>
      </w:r>
    </w:p>
    <w:p w14:paraId="0346E76A">
      <w:pPr>
        <w:spacing w:line="336" w:lineRule="auto"/>
        <w:ind w:left="435"/>
        <w:jc w:val="left"/>
        <w:rPr>
          <w:rFonts w:ascii="宋体" w:hAnsi="宋体" w:cs="宋体"/>
          <w:b/>
          <w:color w:val="auto"/>
          <w:kern w:val="0"/>
          <w:szCs w:val="21"/>
          <w:highlight w:val="none"/>
        </w:rPr>
      </w:pPr>
      <w:r>
        <w:rPr>
          <w:rFonts w:hint="eastAsia" w:ascii="宋体" w:hAnsi="宋体" w:cs="宋体"/>
          <w:b/>
          <w:color w:val="auto"/>
          <w:kern w:val="0"/>
          <w:szCs w:val="21"/>
          <w:highlight w:val="none"/>
        </w:rPr>
        <w:t>4.保密期限</w:t>
      </w:r>
    </w:p>
    <w:p w14:paraId="3E3B8620">
      <w:pPr>
        <w:spacing w:line="336" w:lineRule="auto"/>
        <w:ind w:firstLine="404" w:firstLineChars="200"/>
        <w:jc w:val="left"/>
        <w:rPr>
          <w:rFonts w:ascii="宋体" w:hAnsi="Courier New"/>
          <w:color w:val="auto"/>
          <w:spacing w:val="-4"/>
          <w:szCs w:val="20"/>
          <w:highlight w:val="none"/>
        </w:rPr>
      </w:pPr>
      <w:r>
        <w:rPr>
          <w:rFonts w:hint="eastAsia" w:ascii="宋体" w:hAnsi="Courier New"/>
          <w:color w:val="auto"/>
          <w:spacing w:val="-4"/>
          <w:szCs w:val="20"/>
          <w:highlight w:val="none"/>
        </w:rPr>
        <w:t>4.1保密期限为</w:t>
      </w:r>
      <w:r>
        <w:rPr>
          <w:rFonts w:hint="eastAsia" w:ascii="宋体" w:hAnsi="Courier New"/>
          <w:color w:val="auto"/>
          <w:spacing w:val="-4"/>
          <w:szCs w:val="20"/>
          <w:highlight w:val="none"/>
          <w:u w:val="single"/>
        </w:rPr>
        <w:t xml:space="preserve">  永久   </w:t>
      </w:r>
      <w:r>
        <w:rPr>
          <w:rFonts w:hint="eastAsia" w:ascii="宋体" w:hAnsi="Courier New"/>
          <w:color w:val="auto"/>
          <w:spacing w:val="-4"/>
          <w:szCs w:val="20"/>
          <w:highlight w:val="none"/>
        </w:rPr>
        <w:t>，自本协议生效之日起算，但如果某项保密信息在保密期限内被披露方公开披露或成为公开信息的，则该项保密信息的保密期限可以立即终止，但其他保密信息的保密期限继续有效；</w:t>
      </w:r>
    </w:p>
    <w:p w14:paraId="1AB61332">
      <w:pPr>
        <w:spacing w:line="336" w:lineRule="auto"/>
        <w:ind w:firstLine="404" w:firstLineChars="200"/>
        <w:jc w:val="left"/>
        <w:rPr>
          <w:rFonts w:ascii="宋体" w:hAnsi="Courier New"/>
          <w:color w:val="auto"/>
          <w:spacing w:val="-4"/>
          <w:szCs w:val="20"/>
          <w:highlight w:val="none"/>
        </w:rPr>
      </w:pPr>
      <w:r>
        <w:rPr>
          <w:rFonts w:hint="eastAsia" w:ascii="宋体" w:hAnsi="Courier New"/>
          <w:color w:val="auto"/>
          <w:spacing w:val="-4"/>
          <w:szCs w:val="20"/>
          <w:highlight w:val="none"/>
        </w:rPr>
        <w:t>4.2 本协议生效前，披露方已经披露给接收方的保密信息的保密期限自接收方收到该等保密信息之日起算，终止日期按4.1条约定执行。</w:t>
      </w:r>
    </w:p>
    <w:p w14:paraId="6F5098AC">
      <w:pPr>
        <w:spacing w:line="336"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5.违约责任</w:t>
      </w:r>
    </w:p>
    <w:p w14:paraId="7BCC2E3E">
      <w:pPr>
        <w:spacing w:line="336" w:lineRule="auto"/>
        <w:ind w:firstLine="404" w:firstLineChars="200"/>
        <w:rPr>
          <w:rFonts w:ascii="宋体" w:hAnsi="Courier New"/>
          <w:color w:val="auto"/>
          <w:spacing w:val="-4"/>
          <w:szCs w:val="20"/>
          <w:highlight w:val="none"/>
        </w:rPr>
      </w:pPr>
      <w:r>
        <w:rPr>
          <w:rFonts w:hint="eastAsia" w:ascii="宋体" w:hAnsi="Courier New"/>
          <w:color w:val="auto"/>
          <w:spacing w:val="-4"/>
          <w:szCs w:val="20"/>
          <w:highlight w:val="none"/>
        </w:rPr>
        <w:t>5.1 在披露方提供的保密信息送达接收方之后，该保密信息因被盗、被抢、丢失等意外原因被泄露，由接收方承担责任，本协议所称送达，是指：（1）面对面交接保密信息的，交接当时为送达；（2）以信件形式寄送的，由接收方任何部门或人员签收即为送达；（3）以电子邮件、微信或其他即时通讯方式发送的，发送成功当时即为送达；（4）以传真方式送达的，披露方传真发送成功为送达；</w:t>
      </w:r>
    </w:p>
    <w:p w14:paraId="4B4B7B95">
      <w:pPr>
        <w:spacing w:line="336" w:lineRule="auto"/>
        <w:ind w:firstLine="404" w:firstLineChars="200"/>
        <w:rPr>
          <w:rFonts w:ascii="宋体" w:hAnsi="Courier New"/>
          <w:color w:val="auto"/>
          <w:spacing w:val="-4"/>
          <w:szCs w:val="20"/>
          <w:highlight w:val="none"/>
        </w:rPr>
      </w:pPr>
      <w:r>
        <w:rPr>
          <w:rFonts w:hint="eastAsia" w:ascii="宋体" w:hAnsi="Courier New"/>
          <w:color w:val="auto"/>
          <w:spacing w:val="-4"/>
          <w:szCs w:val="20"/>
          <w:highlight w:val="none"/>
        </w:rPr>
        <w:t>5.2 因接收方提供错误的电话号码、传真号码、电子邮箱、邮寄地址、微信号、信息接收人等联系方式导致保密信息被泄露，由接收方承担责任；</w:t>
      </w:r>
    </w:p>
    <w:p w14:paraId="3B6D7206">
      <w:pPr>
        <w:spacing w:line="336" w:lineRule="auto"/>
        <w:ind w:firstLine="404" w:firstLineChars="200"/>
        <w:rPr>
          <w:rFonts w:ascii="宋体" w:hAnsi="Courier New"/>
          <w:color w:val="auto"/>
          <w:spacing w:val="-4"/>
          <w:szCs w:val="20"/>
          <w:highlight w:val="none"/>
        </w:rPr>
      </w:pPr>
      <w:r>
        <w:rPr>
          <w:rFonts w:hint="eastAsia" w:ascii="宋体" w:hAnsi="Courier New"/>
          <w:color w:val="auto"/>
          <w:spacing w:val="-4"/>
          <w:szCs w:val="20"/>
          <w:highlight w:val="none"/>
        </w:rPr>
        <w:t>5.3 接收方违反保密义务的，披露方可以解除主合同（如有），且要求接收方赔偿披露方因此所遭受的全部直接和间接经济损失，经济损失无法计算的，则应向披露方赔偿</w:t>
      </w:r>
      <w:r>
        <w:rPr>
          <w:rFonts w:hint="eastAsia" w:ascii="宋体" w:hAnsi="Courier New"/>
          <w:color w:val="auto"/>
          <w:spacing w:val="-4"/>
          <w:szCs w:val="20"/>
          <w:highlight w:val="none"/>
          <w:u w:val="single"/>
        </w:rPr>
        <w:t xml:space="preserve">10000 </w:t>
      </w:r>
      <w:r>
        <w:rPr>
          <w:rFonts w:hint="eastAsia" w:ascii="宋体" w:hAnsi="Courier New"/>
          <w:color w:val="auto"/>
          <w:spacing w:val="-4"/>
          <w:szCs w:val="20"/>
          <w:highlight w:val="none"/>
        </w:rPr>
        <w:t>元；</w:t>
      </w:r>
    </w:p>
    <w:p w14:paraId="708FFE62">
      <w:pPr>
        <w:spacing w:line="336" w:lineRule="auto"/>
        <w:ind w:firstLine="404" w:firstLineChars="200"/>
        <w:rPr>
          <w:rFonts w:ascii="宋体" w:hAnsi="Courier New"/>
          <w:color w:val="auto"/>
          <w:spacing w:val="-4"/>
          <w:szCs w:val="20"/>
          <w:highlight w:val="none"/>
        </w:rPr>
      </w:pPr>
      <w:r>
        <w:rPr>
          <w:rFonts w:hint="eastAsia" w:ascii="宋体" w:hAnsi="Courier New"/>
          <w:color w:val="auto"/>
          <w:spacing w:val="-4"/>
          <w:szCs w:val="20"/>
          <w:highlight w:val="none"/>
        </w:rPr>
        <w:t>5.4 前款所称披露方的损失，包括但不限于直接经济损失、间接经济损失、商誉损失、调查取证费、公证费、诉讼仲裁费、律师费、其它费用；</w:t>
      </w:r>
    </w:p>
    <w:p w14:paraId="1E880748">
      <w:pPr>
        <w:spacing w:line="336" w:lineRule="auto"/>
        <w:ind w:firstLine="404" w:firstLineChars="200"/>
        <w:rPr>
          <w:rFonts w:ascii="宋体" w:hAnsi="Courier New"/>
          <w:color w:val="auto"/>
          <w:spacing w:val="-4"/>
          <w:szCs w:val="20"/>
          <w:highlight w:val="none"/>
        </w:rPr>
      </w:pPr>
      <w:r>
        <w:rPr>
          <w:rFonts w:hint="eastAsia" w:ascii="宋体" w:hAnsi="Courier New"/>
          <w:color w:val="auto"/>
          <w:spacing w:val="-4"/>
          <w:szCs w:val="20"/>
          <w:highlight w:val="none"/>
        </w:rPr>
        <w:t>5.5 除要求接收方承担经济赔偿责任外，披露方还可依法将接收方违反保密义务的行为向国家有关机关举报；</w:t>
      </w:r>
    </w:p>
    <w:p w14:paraId="1B0CE053">
      <w:pPr>
        <w:spacing w:line="336"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6.争议的解决</w:t>
      </w:r>
    </w:p>
    <w:p w14:paraId="19F79666">
      <w:pPr>
        <w:spacing w:line="336" w:lineRule="auto"/>
        <w:ind w:firstLine="420" w:firstLineChars="200"/>
        <w:rPr>
          <w:color w:val="auto"/>
          <w:szCs w:val="21"/>
          <w:highlight w:val="none"/>
        </w:rPr>
      </w:pPr>
      <w:r>
        <w:rPr>
          <w:rFonts w:hint="eastAsia" w:ascii="宋体" w:hAnsi="宋体" w:cs="宋体"/>
          <w:color w:val="auto"/>
          <w:szCs w:val="21"/>
          <w:highlight w:val="none"/>
        </w:rPr>
        <w:t xml:space="preserve">6.1 </w:t>
      </w:r>
      <w:r>
        <w:rPr>
          <w:color w:val="auto"/>
          <w:szCs w:val="21"/>
          <w:highlight w:val="none"/>
        </w:rPr>
        <w:t>对于因本</w:t>
      </w:r>
      <w:r>
        <w:rPr>
          <w:rFonts w:hint="eastAsia"/>
          <w:color w:val="auto"/>
          <w:szCs w:val="21"/>
          <w:highlight w:val="none"/>
        </w:rPr>
        <w:t>协议产生的</w:t>
      </w:r>
      <w:r>
        <w:rPr>
          <w:color w:val="auto"/>
          <w:szCs w:val="21"/>
          <w:highlight w:val="none"/>
        </w:rPr>
        <w:t>或与</w:t>
      </w:r>
      <w:r>
        <w:rPr>
          <w:rFonts w:hint="eastAsia"/>
          <w:color w:val="auto"/>
          <w:szCs w:val="21"/>
          <w:highlight w:val="none"/>
        </w:rPr>
        <w:t>本协议</w:t>
      </w:r>
      <w:r>
        <w:rPr>
          <w:color w:val="auto"/>
          <w:szCs w:val="21"/>
          <w:highlight w:val="none"/>
        </w:rPr>
        <w:t>相</w:t>
      </w:r>
      <w:r>
        <w:rPr>
          <w:rFonts w:hint="eastAsia"/>
          <w:color w:val="auto"/>
          <w:szCs w:val="21"/>
          <w:highlight w:val="none"/>
        </w:rPr>
        <w:t>关</w:t>
      </w:r>
      <w:r>
        <w:rPr>
          <w:color w:val="auto"/>
          <w:szCs w:val="21"/>
          <w:highlight w:val="none"/>
        </w:rPr>
        <w:t>的任何争议，</w:t>
      </w:r>
      <w:r>
        <w:rPr>
          <w:rFonts w:hint="eastAsia"/>
          <w:color w:val="auto"/>
          <w:szCs w:val="21"/>
          <w:highlight w:val="none"/>
        </w:rPr>
        <w:t>协议</w:t>
      </w:r>
      <w:r>
        <w:rPr>
          <w:color w:val="auto"/>
          <w:szCs w:val="21"/>
          <w:highlight w:val="none"/>
        </w:rPr>
        <w:t>当事方应当</w:t>
      </w:r>
      <w:r>
        <w:rPr>
          <w:rFonts w:hint="eastAsia"/>
          <w:color w:val="auto"/>
          <w:szCs w:val="21"/>
          <w:highlight w:val="none"/>
        </w:rPr>
        <w:t>友好协商解决，或者在第三方主持下调解解决，也可以</w:t>
      </w:r>
      <w:r>
        <w:rPr>
          <w:color w:val="auto"/>
          <w:szCs w:val="21"/>
          <w:highlight w:val="none"/>
        </w:rPr>
        <w:t>将该争议提交</w:t>
      </w:r>
      <w:r>
        <w:rPr>
          <w:rFonts w:hint="eastAsia"/>
          <w:b/>
          <w:bCs/>
          <w:color w:val="auto"/>
          <w:szCs w:val="21"/>
          <w:highlight w:val="none"/>
        </w:rPr>
        <w:t>甲方所在地</w:t>
      </w:r>
      <w:r>
        <w:rPr>
          <w:color w:val="auto"/>
          <w:szCs w:val="21"/>
          <w:highlight w:val="none"/>
        </w:rPr>
        <w:t>法院通过诉讼解决</w:t>
      </w:r>
      <w:r>
        <w:rPr>
          <w:rFonts w:hint="eastAsia"/>
          <w:color w:val="auto"/>
          <w:szCs w:val="21"/>
          <w:highlight w:val="none"/>
        </w:rPr>
        <w:t>，本约定如与法律规定的专门管辖或专属管辖相冲突的，应服从法律的规定</w:t>
      </w:r>
      <w:r>
        <w:rPr>
          <w:color w:val="auto"/>
          <w:szCs w:val="21"/>
          <w:highlight w:val="none"/>
        </w:rPr>
        <w:t>。</w:t>
      </w:r>
    </w:p>
    <w:p w14:paraId="306EB521">
      <w:pPr>
        <w:spacing w:line="336" w:lineRule="auto"/>
        <w:ind w:firstLine="420" w:firstLineChars="200"/>
        <w:rPr>
          <w:color w:val="auto"/>
          <w:szCs w:val="21"/>
          <w:highlight w:val="none"/>
        </w:rPr>
      </w:pPr>
      <w:r>
        <w:rPr>
          <w:rFonts w:hint="eastAsia" w:ascii="宋体" w:hAnsi="宋体" w:cs="宋体"/>
          <w:color w:val="auto"/>
          <w:szCs w:val="21"/>
          <w:highlight w:val="none"/>
        </w:rPr>
        <w:t xml:space="preserve">6.2 </w:t>
      </w:r>
      <w:r>
        <w:rPr>
          <w:rFonts w:hint="eastAsia"/>
          <w:color w:val="auto"/>
          <w:szCs w:val="21"/>
          <w:highlight w:val="none"/>
        </w:rPr>
        <w:t>对于协议中未受争议问题影响的其他条款，在争议解决过程中，双方仍应按协议约定履行。</w:t>
      </w:r>
    </w:p>
    <w:p w14:paraId="29A3B29C">
      <w:pPr>
        <w:spacing w:line="336" w:lineRule="auto"/>
        <w:ind w:firstLine="422" w:firstLineChars="200"/>
        <w:rPr>
          <w:rFonts w:ascii="宋体" w:hAnsi="宋体"/>
          <w:b/>
          <w:color w:val="auto"/>
          <w:szCs w:val="21"/>
          <w:highlight w:val="none"/>
        </w:rPr>
      </w:pPr>
      <w:r>
        <w:rPr>
          <w:rFonts w:hint="eastAsia" w:ascii="宋体" w:hAnsi="宋体"/>
          <w:b/>
          <w:color w:val="auto"/>
          <w:szCs w:val="21"/>
          <w:highlight w:val="none"/>
        </w:rPr>
        <w:t>7.通知与送达</w:t>
      </w:r>
    </w:p>
    <w:p w14:paraId="109A57EF">
      <w:pPr>
        <w:spacing w:line="336" w:lineRule="auto"/>
        <w:ind w:firstLine="420" w:firstLineChars="200"/>
        <w:rPr>
          <w:color w:val="auto"/>
          <w:szCs w:val="21"/>
          <w:highlight w:val="none"/>
        </w:rPr>
      </w:pPr>
      <w:r>
        <w:rPr>
          <w:rFonts w:hint="eastAsia"/>
          <w:color w:val="auto"/>
          <w:szCs w:val="21"/>
          <w:highlight w:val="none"/>
        </w:rPr>
        <w:t>协议一方向对方发出的任何书面通知，只要送至相对方提供的协议首部地址即视为已经送达。采用邮寄方式送达的，交寄日后的第三日即为送达之日。采用Email送达的，发出Email之日即为送达日。由于协议一方提供的联系信息不准确或变更后未及时通知相对方，造成送达文件被退回的，邮件回执上注明的退回当日视为送达之日。</w:t>
      </w:r>
    </w:p>
    <w:p w14:paraId="7AD19149">
      <w:pPr>
        <w:spacing w:line="336" w:lineRule="auto"/>
        <w:ind w:firstLine="420" w:firstLineChars="200"/>
        <w:rPr>
          <w:color w:val="auto"/>
          <w:szCs w:val="21"/>
          <w:highlight w:val="none"/>
        </w:rPr>
      </w:pPr>
      <w:r>
        <w:rPr>
          <w:rFonts w:hint="eastAsia"/>
          <w:color w:val="auto"/>
          <w:szCs w:val="21"/>
          <w:highlight w:val="none"/>
        </w:rPr>
        <w:t>双方确认，上述地址也视同诉讼送达地址，双方不可撤销地同意，所有诉讼（仲裁）过程中的法律文书通过上述地址送达的，无论受送达人是否签收，或是否有权人签收，均为有效送达。</w:t>
      </w:r>
    </w:p>
    <w:p w14:paraId="51F7904B">
      <w:pPr>
        <w:spacing w:line="336"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8.其他</w:t>
      </w:r>
    </w:p>
    <w:p w14:paraId="672733F1">
      <w:pPr>
        <w:spacing w:line="336"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8.1 本协议自双方盖单位印章或法定代表人签字之日起生效，自双方协议义务履行完毕时终止。</w:t>
      </w:r>
    </w:p>
    <w:p w14:paraId="3DB46213">
      <w:pPr>
        <w:spacing w:line="336"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8.2 本协议一式</w:t>
      </w:r>
      <w:r>
        <w:rPr>
          <w:rFonts w:hint="eastAsia" w:ascii="宋体" w:hAnsi="宋体" w:cs="宋体"/>
          <w:color w:val="auto"/>
          <w:kern w:val="0"/>
          <w:szCs w:val="21"/>
          <w:highlight w:val="none"/>
          <w:u w:val="single"/>
        </w:rPr>
        <w:t>肆</w:t>
      </w:r>
      <w:r>
        <w:rPr>
          <w:rFonts w:hint="eastAsia" w:ascii="宋体" w:hAnsi="宋体" w:cs="宋体"/>
          <w:color w:val="auto"/>
          <w:kern w:val="0"/>
          <w:szCs w:val="21"/>
          <w:highlight w:val="none"/>
        </w:rPr>
        <w:t>份，双方各执</w:t>
      </w:r>
      <w:r>
        <w:rPr>
          <w:rFonts w:hint="eastAsia" w:ascii="宋体" w:hAnsi="宋体" w:cs="宋体"/>
          <w:color w:val="auto"/>
          <w:kern w:val="0"/>
          <w:szCs w:val="21"/>
          <w:highlight w:val="none"/>
          <w:u w:val="single"/>
        </w:rPr>
        <w:t xml:space="preserve">贰 </w:t>
      </w:r>
      <w:r>
        <w:rPr>
          <w:rFonts w:hint="eastAsia" w:ascii="宋体" w:hAnsi="宋体" w:cs="宋体"/>
          <w:color w:val="auto"/>
          <w:kern w:val="0"/>
          <w:szCs w:val="21"/>
          <w:highlight w:val="none"/>
        </w:rPr>
        <w:t>份。</w:t>
      </w:r>
    </w:p>
    <w:p w14:paraId="321A0068">
      <w:pPr>
        <w:adjustRightInd w:val="0"/>
        <w:snapToGrid w:val="0"/>
        <w:spacing w:before="156" w:beforeLines="50" w:line="336" w:lineRule="auto"/>
        <w:rPr>
          <w:rFonts w:ascii="宋体" w:hAnsi="宋体"/>
          <w:color w:val="auto"/>
          <w:szCs w:val="21"/>
          <w:highlight w:val="none"/>
        </w:rPr>
      </w:pPr>
      <w:r>
        <w:rPr>
          <w:rFonts w:hint="eastAsia" w:ascii="宋体" w:hAnsi="宋体"/>
          <w:color w:val="auto"/>
          <w:szCs w:val="21"/>
          <w:highlight w:val="none"/>
        </w:rPr>
        <w:t>甲方（盖章）：                            乙方（盖章）：</w:t>
      </w:r>
    </w:p>
    <w:p w14:paraId="7A7EE98B">
      <w:pPr>
        <w:adjustRightInd w:val="0"/>
        <w:snapToGrid w:val="0"/>
        <w:spacing w:before="156" w:beforeLines="50" w:line="336" w:lineRule="auto"/>
        <w:rPr>
          <w:rFonts w:ascii="宋体" w:hAnsi="宋体"/>
          <w:color w:val="auto"/>
          <w:szCs w:val="21"/>
          <w:highlight w:val="none"/>
        </w:rPr>
      </w:pPr>
    </w:p>
    <w:p w14:paraId="6D550818">
      <w:pPr>
        <w:adjustRightInd w:val="0"/>
        <w:snapToGrid w:val="0"/>
        <w:spacing w:before="156" w:beforeLines="50" w:line="336" w:lineRule="auto"/>
        <w:rPr>
          <w:rFonts w:ascii="宋体" w:hAnsi="宋体"/>
          <w:color w:val="auto"/>
          <w:szCs w:val="21"/>
          <w:highlight w:val="none"/>
        </w:rPr>
      </w:pPr>
      <w:r>
        <w:rPr>
          <w:rFonts w:hint="eastAsia" w:ascii="宋体" w:hAnsi="宋体"/>
          <w:color w:val="auto"/>
          <w:szCs w:val="21"/>
          <w:highlight w:val="none"/>
        </w:rPr>
        <w:t>法定代表人或委托代理人（签字）：          法定代表人或委托代理人（签字）：</w:t>
      </w:r>
    </w:p>
    <w:p w14:paraId="4D2E87AF">
      <w:pPr>
        <w:rPr>
          <w:color w:val="auto"/>
          <w:highlight w:val="none"/>
        </w:rPr>
      </w:pPr>
      <w:r>
        <w:rPr>
          <w:rFonts w:hint="eastAsia"/>
          <w:color w:val="auto"/>
          <w:highlight w:val="none"/>
        </w:rPr>
        <w:br w:type="page"/>
      </w:r>
    </w:p>
    <w:p w14:paraId="58476451">
      <w:pPr>
        <w:pStyle w:val="22"/>
        <w:rPr>
          <w:color w:val="auto"/>
          <w:highlight w:val="none"/>
        </w:rPr>
      </w:pPr>
      <w:bookmarkStart w:id="95" w:name="_Toc25792"/>
      <w:r>
        <w:rPr>
          <w:rFonts w:hint="eastAsia"/>
          <w:color w:val="auto"/>
          <w:highlight w:val="none"/>
        </w:rPr>
        <w:t>第六章  投标文件格式</w:t>
      </w:r>
      <w:bookmarkEnd w:id="90"/>
      <w:bookmarkEnd w:id="95"/>
    </w:p>
    <w:p w14:paraId="7532E24C">
      <w:pPr>
        <w:spacing w:before="156" w:beforeLines="50" w:after="156" w:afterLines="50"/>
        <w:rPr>
          <w:rFonts w:ascii="宋体" w:hAnsi="宋体" w:cs="宋体"/>
          <w:color w:val="auto"/>
          <w:sz w:val="22"/>
          <w:szCs w:val="22"/>
          <w:highlight w:val="none"/>
        </w:rPr>
      </w:pPr>
      <w:r>
        <w:rPr>
          <w:rFonts w:hint="eastAsia" w:ascii="宋体" w:hAnsi="宋体" w:cs="宋体"/>
          <w:color w:val="auto"/>
          <w:sz w:val="22"/>
          <w:szCs w:val="22"/>
          <w:highlight w:val="none"/>
        </w:rPr>
        <w:t>（资格审查文件封面，供参考）</w:t>
      </w:r>
    </w:p>
    <w:p w14:paraId="059B2381">
      <w:pPr>
        <w:spacing w:before="156" w:beforeLines="50" w:after="156" w:afterLines="50"/>
        <w:rPr>
          <w:rFonts w:ascii="宋体" w:hAnsi="宋体" w:cs="宋体"/>
          <w:color w:val="auto"/>
          <w:sz w:val="22"/>
          <w:szCs w:val="22"/>
          <w:highlight w:val="none"/>
        </w:rPr>
      </w:pPr>
    </w:p>
    <w:p w14:paraId="7A1BBCF7">
      <w:pPr>
        <w:rPr>
          <w:rFonts w:ascii="宋体" w:hAnsi="宋体" w:cs="宋体"/>
          <w:color w:val="auto"/>
          <w:highlight w:val="none"/>
        </w:rPr>
      </w:pPr>
    </w:p>
    <w:p w14:paraId="057841CF">
      <w:pPr>
        <w:rPr>
          <w:rFonts w:ascii="宋体" w:hAnsi="宋体" w:cs="宋体"/>
          <w:color w:val="auto"/>
          <w:highlight w:val="none"/>
        </w:rPr>
      </w:pPr>
    </w:p>
    <w:p w14:paraId="11F99768">
      <w:pPr>
        <w:rPr>
          <w:rFonts w:ascii="宋体" w:hAnsi="宋体" w:cs="宋体"/>
          <w:color w:val="auto"/>
          <w:highlight w:val="none"/>
        </w:rPr>
      </w:pPr>
    </w:p>
    <w:p w14:paraId="5C6172EC">
      <w:pPr>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（项目名称）</w:t>
      </w:r>
      <w:r>
        <w:rPr>
          <w:rFonts w:hint="eastAsia" w:ascii="宋体" w:hAnsi="宋体" w:cs="宋体"/>
          <w:color w:val="auto"/>
          <w:sz w:val="28"/>
          <w:szCs w:val="28"/>
          <w:highlight w:val="none"/>
        </w:rPr>
        <w:t>投标文件</w:t>
      </w:r>
    </w:p>
    <w:p w14:paraId="1E9BECA0">
      <w:pPr>
        <w:rPr>
          <w:rFonts w:ascii="宋体" w:hAnsi="宋体" w:cs="宋体"/>
          <w:color w:val="auto"/>
          <w:sz w:val="28"/>
          <w:szCs w:val="28"/>
          <w:highlight w:val="none"/>
        </w:rPr>
      </w:pPr>
    </w:p>
    <w:p w14:paraId="46C5967F">
      <w:pPr>
        <w:rPr>
          <w:rFonts w:ascii="宋体" w:hAnsi="宋体" w:cs="宋体"/>
          <w:color w:val="auto"/>
          <w:sz w:val="28"/>
          <w:szCs w:val="28"/>
          <w:highlight w:val="none"/>
        </w:rPr>
      </w:pPr>
    </w:p>
    <w:p w14:paraId="56095DAD">
      <w:pPr>
        <w:rPr>
          <w:rFonts w:ascii="宋体" w:hAnsi="宋体" w:cs="宋体"/>
          <w:color w:val="auto"/>
          <w:sz w:val="28"/>
          <w:szCs w:val="28"/>
          <w:highlight w:val="none"/>
        </w:rPr>
      </w:pPr>
    </w:p>
    <w:p w14:paraId="0C7C6247">
      <w:pPr>
        <w:rPr>
          <w:rFonts w:ascii="宋体" w:hAnsi="宋体" w:cs="宋体"/>
          <w:color w:val="auto"/>
          <w:sz w:val="28"/>
          <w:szCs w:val="28"/>
          <w:highlight w:val="none"/>
        </w:rPr>
      </w:pPr>
    </w:p>
    <w:p w14:paraId="3C21AC57">
      <w:pPr>
        <w:spacing w:line="360" w:lineRule="auto"/>
        <w:jc w:val="center"/>
        <w:outlineLvl w:val="2"/>
        <w:rPr>
          <w:rFonts w:ascii="宋体" w:hAnsi="宋体" w:cs="宋体"/>
          <w:color w:val="auto"/>
          <w:szCs w:val="21"/>
          <w:highlight w:val="none"/>
        </w:rPr>
      </w:pPr>
      <w:bookmarkStart w:id="96" w:name="_Toc13326"/>
      <w:r>
        <w:rPr>
          <w:rFonts w:hint="eastAsia" w:ascii="宋体" w:hAnsi="宋体" w:cs="宋体"/>
          <w:color w:val="auto"/>
          <w:sz w:val="52"/>
          <w:szCs w:val="52"/>
          <w:highlight w:val="none"/>
        </w:rPr>
        <w:t>资格审查文件</w:t>
      </w:r>
      <w:bookmarkEnd w:id="96"/>
    </w:p>
    <w:p w14:paraId="1A2A5988">
      <w:pPr>
        <w:spacing w:line="360" w:lineRule="auto"/>
        <w:rPr>
          <w:rFonts w:ascii="宋体" w:hAnsi="宋体" w:cs="宋体"/>
          <w:color w:val="auto"/>
          <w:szCs w:val="21"/>
          <w:highlight w:val="none"/>
        </w:rPr>
      </w:pPr>
    </w:p>
    <w:p w14:paraId="74AFC4C6">
      <w:pPr>
        <w:spacing w:line="360" w:lineRule="auto"/>
        <w:rPr>
          <w:rFonts w:ascii="宋体" w:hAnsi="宋体" w:cs="宋体"/>
          <w:color w:val="auto"/>
          <w:szCs w:val="21"/>
          <w:highlight w:val="none"/>
        </w:rPr>
      </w:pPr>
    </w:p>
    <w:p w14:paraId="5EB2FE97">
      <w:pPr>
        <w:pStyle w:val="2"/>
        <w:ind w:firstLine="200"/>
        <w:rPr>
          <w:rFonts w:ascii="宋体" w:hAnsi="宋体" w:cs="宋体"/>
          <w:color w:val="auto"/>
          <w:highlight w:val="none"/>
        </w:rPr>
      </w:pPr>
    </w:p>
    <w:p w14:paraId="34EE1CBD">
      <w:pPr>
        <w:pStyle w:val="2"/>
        <w:ind w:firstLine="200"/>
        <w:rPr>
          <w:rFonts w:ascii="宋体" w:hAnsi="宋体" w:cs="宋体"/>
          <w:color w:val="auto"/>
          <w:highlight w:val="none"/>
        </w:rPr>
      </w:pPr>
    </w:p>
    <w:p w14:paraId="073CABAA">
      <w:pPr>
        <w:pStyle w:val="2"/>
        <w:ind w:firstLine="200"/>
        <w:rPr>
          <w:rFonts w:ascii="宋体" w:hAnsi="宋体" w:cs="宋体"/>
          <w:color w:val="auto"/>
          <w:highlight w:val="none"/>
        </w:rPr>
      </w:pPr>
    </w:p>
    <w:p w14:paraId="7AEBE697">
      <w:pPr>
        <w:pStyle w:val="2"/>
        <w:ind w:firstLine="200"/>
        <w:rPr>
          <w:rFonts w:ascii="宋体" w:hAnsi="宋体" w:cs="宋体"/>
          <w:color w:val="auto"/>
          <w:highlight w:val="none"/>
        </w:rPr>
      </w:pPr>
    </w:p>
    <w:p w14:paraId="4A91E85F">
      <w:pPr>
        <w:spacing w:line="360" w:lineRule="auto"/>
        <w:rPr>
          <w:rFonts w:ascii="宋体" w:hAnsi="宋体" w:cs="宋体"/>
          <w:color w:val="auto"/>
          <w:szCs w:val="21"/>
          <w:highlight w:val="none"/>
        </w:rPr>
      </w:pPr>
    </w:p>
    <w:p w14:paraId="0693A6D7">
      <w:pPr>
        <w:jc w:val="center"/>
        <w:rPr>
          <w:rFonts w:ascii="宋体" w:hAnsi="宋体" w:cs="新宋体"/>
          <w:color w:val="auto"/>
          <w:sz w:val="28"/>
          <w:szCs w:val="28"/>
          <w:highlight w:val="none"/>
        </w:rPr>
      </w:pPr>
      <w:r>
        <w:rPr>
          <w:rFonts w:hint="eastAsia" w:ascii="宋体" w:hAnsi="宋体" w:cs="新宋体"/>
          <w:color w:val="auto"/>
          <w:sz w:val="28"/>
          <w:szCs w:val="28"/>
          <w:highlight w:val="none"/>
        </w:rPr>
        <w:t>投标人：</w:t>
      </w: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（盖单位章）</w:t>
      </w:r>
    </w:p>
    <w:p w14:paraId="4D90845D">
      <w:pPr>
        <w:rPr>
          <w:rFonts w:ascii="宋体" w:hAnsi="宋体" w:cs="新宋体"/>
          <w:color w:val="auto"/>
          <w:sz w:val="28"/>
          <w:szCs w:val="28"/>
          <w:highlight w:val="none"/>
          <w:u w:val="single"/>
        </w:rPr>
      </w:pPr>
    </w:p>
    <w:p w14:paraId="3EE9E92A">
      <w:pPr>
        <w:jc w:val="center"/>
        <w:rPr>
          <w:rFonts w:ascii="宋体" w:hAnsi="宋体" w:cs="新宋体"/>
          <w:color w:val="auto"/>
          <w:sz w:val="28"/>
          <w:szCs w:val="28"/>
          <w:highlight w:val="none"/>
        </w:rPr>
      </w:pPr>
      <w:r>
        <w:rPr>
          <w:rFonts w:hint="eastAsia" w:ascii="宋体" w:hAnsi="宋体" w:cs="新宋体"/>
          <w:color w:val="auto"/>
          <w:sz w:val="28"/>
          <w:szCs w:val="28"/>
          <w:highlight w:val="none"/>
        </w:rPr>
        <w:t>法定代表人或授权代表：</w:t>
      </w: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（签字或盖章）</w:t>
      </w:r>
    </w:p>
    <w:p w14:paraId="603F9750">
      <w:pPr>
        <w:rPr>
          <w:rFonts w:ascii="宋体" w:hAnsi="宋体" w:cs="新宋体"/>
          <w:color w:val="auto"/>
          <w:sz w:val="28"/>
          <w:szCs w:val="28"/>
          <w:highlight w:val="none"/>
        </w:rPr>
      </w:pPr>
    </w:p>
    <w:p w14:paraId="17CA6E58">
      <w:pPr>
        <w:jc w:val="center"/>
        <w:rPr>
          <w:rFonts w:ascii="宋体" w:hAnsi="宋体" w:cs="新宋体"/>
          <w:color w:val="auto"/>
          <w:sz w:val="28"/>
          <w:szCs w:val="28"/>
          <w:highlight w:val="none"/>
        </w:rPr>
      </w:pP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年</w:t>
      </w: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月</w:t>
      </w: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日</w:t>
      </w:r>
    </w:p>
    <w:p w14:paraId="14366550">
      <w:pPr>
        <w:jc w:val="center"/>
        <w:rPr>
          <w:rFonts w:ascii="宋体" w:hAnsi="宋体" w:cs="新宋体"/>
          <w:b/>
          <w:bCs/>
          <w:color w:val="auto"/>
          <w:sz w:val="52"/>
          <w:szCs w:val="52"/>
          <w:highlight w:val="none"/>
        </w:rPr>
      </w:pPr>
      <w:r>
        <w:rPr>
          <w:rFonts w:hint="eastAsia" w:ascii="宋体" w:hAnsi="宋体" w:cs="宋体"/>
          <w:color w:val="auto"/>
          <w:highlight w:val="none"/>
        </w:rPr>
        <w:br w:type="page"/>
      </w:r>
      <w:bookmarkStart w:id="97" w:name="_Toc465107615"/>
      <w:bookmarkStart w:id="98" w:name="_Toc152045787"/>
      <w:bookmarkStart w:id="99" w:name="_Toc144974856"/>
      <w:bookmarkStart w:id="100" w:name="_Toc247514246"/>
      <w:bookmarkStart w:id="101" w:name="_Toc247527827"/>
      <w:bookmarkStart w:id="102" w:name="_Toc152042576"/>
      <w:r>
        <w:rPr>
          <w:rFonts w:hint="eastAsia" w:ascii="宋体" w:hAnsi="宋体" w:cs="新宋体"/>
          <w:b/>
          <w:bCs/>
          <w:color w:val="auto"/>
          <w:sz w:val="52"/>
          <w:szCs w:val="52"/>
          <w:highlight w:val="none"/>
        </w:rPr>
        <w:t>目    录</w:t>
      </w:r>
      <w:bookmarkEnd w:id="97"/>
      <w:bookmarkEnd w:id="98"/>
      <w:bookmarkEnd w:id="99"/>
      <w:bookmarkEnd w:id="100"/>
      <w:bookmarkEnd w:id="101"/>
      <w:bookmarkEnd w:id="102"/>
    </w:p>
    <w:p w14:paraId="56C92498">
      <w:pPr>
        <w:pStyle w:val="2"/>
        <w:ind w:firstLine="0" w:firstLineChars="0"/>
        <w:rPr>
          <w:rFonts w:ascii="宋体" w:hAnsi="宋体"/>
          <w:color w:val="auto"/>
          <w:sz w:val="22"/>
          <w:szCs w:val="22"/>
          <w:highlight w:val="none"/>
        </w:rPr>
      </w:pPr>
    </w:p>
    <w:p w14:paraId="6C911598">
      <w:pPr>
        <w:spacing w:line="440" w:lineRule="exact"/>
        <w:rPr>
          <w:rFonts w:ascii="宋体" w:hAnsi="宋体" w:cs="新宋体"/>
          <w:color w:val="auto"/>
          <w:sz w:val="22"/>
          <w:szCs w:val="22"/>
          <w:highlight w:val="none"/>
        </w:rPr>
      </w:pPr>
      <w:r>
        <w:rPr>
          <w:rFonts w:hint="eastAsia" w:ascii="宋体" w:hAnsi="宋体" w:cs="新宋体"/>
          <w:color w:val="auto"/>
          <w:sz w:val="22"/>
          <w:szCs w:val="22"/>
          <w:highlight w:val="none"/>
        </w:rPr>
        <w:tab/>
      </w:r>
      <w:r>
        <w:rPr>
          <w:rFonts w:hint="eastAsia" w:ascii="宋体" w:hAnsi="宋体" w:cs="新宋体"/>
          <w:color w:val="auto"/>
          <w:sz w:val="22"/>
          <w:szCs w:val="22"/>
          <w:highlight w:val="none"/>
        </w:rPr>
        <w:t>针对评分细则，编制目录索引，注明评标细则项目所在投标文件页码，格式自拟</w:t>
      </w:r>
    </w:p>
    <w:p w14:paraId="7EB9BB8D">
      <w:pPr>
        <w:pStyle w:val="39"/>
        <w:wordWrap w:val="0"/>
        <w:spacing w:line="440" w:lineRule="exact"/>
        <w:rPr>
          <w:rFonts w:hint="eastAsia" w:ascii="宋体" w:hAnsi="宋体" w:eastAsia="宋体" w:cs="新宋体"/>
          <w:color w:val="auto"/>
          <w:sz w:val="22"/>
          <w:szCs w:val="22"/>
          <w:highlight w:val="none"/>
          <w:lang w:eastAsia="zh-CN"/>
        </w:rPr>
      </w:pPr>
      <w:r>
        <w:rPr>
          <w:rFonts w:hint="eastAsia" w:ascii="宋体" w:hAnsi="宋体" w:cs="新宋体"/>
          <w:color w:val="auto"/>
          <w:sz w:val="22"/>
          <w:szCs w:val="22"/>
          <w:highlight w:val="none"/>
        </w:rPr>
        <w:t>1   法定代表人授权委托书；</w:t>
      </w:r>
      <w:r>
        <w:rPr>
          <w:rFonts w:hint="eastAsia" w:ascii="宋体" w:hAnsi="宋体" w:cs="新宋体"/>
          <w:color w:val="auto"/>
          <w:sz w:val="22"/>
          <w:szCs w:val="22"/>
          <w:highlight w:val="none"/>
        </w:rPr>
        <w:cr/>
      </w:r>
      <w:r>
        <w:rPr>
          <w:rFonts w:hint="eastAsia" w:ascii="宋体" w:hAnsi="宋体" w:cs="新宋体"/>
          <w:color w:val="auto"/>
          <w:sz w:val="22"/>
          <w:szCs w:val="22"/>
          <w:highlight w:val="none"/>
        </w:rPr>
        <w:t>2   法定代表人资格证明书；</w:t>
      </w:r>
      <w:r>
        <w:rPr>
          <w:rFonts w:hint="eastAsia" w:ascii="宋体" w:hAnsi="宋体" w:cs="新宋体"/>
          <w:color w:val="auto"/>
          <w:sz w:val="22"/>
          <w:szCs w:val="22"/>
          <w:highlight w:val="none"/>
        </w:rPr>
        <w:cr/>
      </w:r>
      <w:r>
        <w:rPr>
          <w:rFonts w:hint="eastAsia" w:ascii="宋体" w:hAnsi="宋体" w:cs="新宋体"/>
          <w:color w:val="auto"/>
          <w:sz w:val="22"/>
          <w:szCs w:val="22"/>
          <w:highlight w:val="none"/>
        </w:rPr>
        <w:t>3   投标声明书；</w:t>
      </w:r>
      <w:r>
        <w:rPr>
          <w:rFonts w:hint="eastAsia" w:ascii="宋体" w:hAnsi="宋体" w:cs="新宋体"/>
          <w:color w:val="auto"/>
          <w:sz w:val="22"/>
          <w:szCs w:val="22"/>
          <w:highlight w:val="none"/>
        </w:rPr>
        <w:cr/>
      </w:r>
      <w:r>
        <w:rPr>
          <w:rFonts w:hint="eastAsia" w:ascii="宋体" w:hAnsi="宋体" w:cs="新宋体"/>
          <w:color w:val="auto"/>
          <w:sz w:val="22"/>
          <w:szCs w:val="22"/>
          <w:highlight w:val="none"/>
        </w:rPr>
        <w:t>4   投标人营业执照(或事业法人登记证书或其它工商等登记证明材料</w:t>
      </w:r>
      <w:r>
        <w:rPr>
          <w:rFonts w:hint="eastAsia" w:ascii="宋体" w:hAnsi="宋体"/>
          <w:color w:val="auto"/>
          <w:sz w:val="22"/>
          <w:szCs w:val="22"/>
          <w:highlight w:val="none"/>
        </w:rPr>
        <w:t>复印件加盖公章)</w:t>
      </w:r>
      <w:r>
        <w:rPr>
          <w:rFonts w:hint="eastAsia" w:ascii="宋体" w:hAnsi="宋体" w:cs="新宋体"/>
          <w:color w:val="auto"/>
          <w:sz w:val="22"/>
          <w:szCs w:val="22"/>
          <w:highlight w:val="none"/>
        </w:rPr>
        <w:t>；</w:t>
      </w:r>
      <w:r>
        <w:rPr>
          <w:rFonts w:hint="eastAsia" w:ascii="宋体" w:hAnsi="宋体" w:cs="新宋体"/>
          <w:color w:val="auto"/>
          <w:sz w:val="22"/>
          <w:szCs w:val="22"/>
          <w:highlight w:val="none"/>
        </w:rPr>
        <w:cr/>
      </w:r>
      <w:r>
        <w:rPr>
          <w:rFonts w:hint="eastAsia" w:ascii="宋体" w:hAnsi="宋体" w:cs="新宋体"/>
          <w:color w:val="auto"/>
          <w:sz w:val="22"/>
          <w:szCs w:val="22"/>
          <w:highlight w:val="none"/>
        </w:rPr>
        <w:t>5   具有履行合同所必需的设备和专业技术能力的承诺函；</w:t>
      </w:r>
      <w:r>
        <w:rPr>
          <w:rFonts w:hint="eastAsia" w:ascii="宋体" w:hAnsi="宋体" w:cs="新宋体"/>
          <w:color w:val="auto"/>
          <w:sz w:val="22"/>
          <w:szCs w:val="22"/>
          <w:highlight w:val="none"/>
        </w:rPr>
        <w:cr/>
      </w:r>
      <w:r>
        <w:rPr>
          <w:rFonts w:hint="eastAsia" w:ascii="宋体" w:hAnsi="宋体" w:cs="新宋体"/>
          <w:color w:val="auto"/>
          <w:sz w:val="22"/>
          <w:szCs w:val="22"/>
          <w:highlight w:val="none"/>
        </w:rPr>
        <w:t>6   具有良好的商业信誉和健全的财务会计制度的承诺函；</w:t>
      </w:r>
      <w:r>
        <w:rPr>
          <w:rFonts w:hint="eastAsia" w:ascii="宋体" w:hAnsi="宋体" w:cs="新宋体"/>
          <w:color w:val="auto"/>
          <w:sz w:val="22"/>
          <w:szCs w:val="22"/>
          <w:highlight w:val="none"/>
        </w:rPr>
        <w:cr/>
      </w:r>
      <w:r>
        <w:rPr>
          <w:rFonts w:hint="eastAsia" w:ascii="宋体" w:hAnsi="宋体" w:cs="新宋体"/>
          <w:color w:val="auto"/>
          <w:sz w:val="22"/>
          <w:szCs w:val="22"/>
          <w:highlight w:val="none"/>
        </w:rPr>
        <w:t xml:space="preserve">7   </w:t>
      </w:r>
      <w:r>
        <w:rPr>
          <w:rFonts w:hint="eastAsia" w:ascii="宋体" w:hAnsi="宋体" w:cs="宋体"/>
          <w:bCs/>
          <w:color w:val="auto"/>
          <w:sz w:val="22"/>
          <w:szCs w:val="22"/>
          <w:highlight w:val="none"/>
        </w:rPr>
        <w:t>未被列入失信被执行人名单、重大税收违法案件当事人名单、未被列入安全生产严重失信主体名单的承诺函</w:t>
      </w:r>
      <w:r>
        <w:rPr>
          <w:rFonts w:hint="eastAsia" w:ascii="宋体" w:hAnsi="宋体" w:cs="宋体"/>
          <w:bCs/>
          <w:color w:val="auto"/>
          <w:sz w:val="22"/>
          <w:szCs w:val="22"/>
          <w:highlight w:val="none"/>
          <w:lang w:eastAsia="zh-CN"/>
        </w:rPr>
        <w:t>；</w:t>
      </w:r>
    </w:p>
    <w:p w14:paraId="460F2475">
      <w:pPr>
        <w:spacing w:line="460" w:lineRule="exact"/>
        <w:rPr>
          <w:rFonts w:ascii="宋体" w:hAnsi="宋体" w:cs="新宋体"/>
          <w:color w:val="auto"/>
          <w:sz w:val="22"/>
          <w:szCs w:val="22"/>
          <w:highlight w:val="none"/>
        </w:rPr>
      </w:pPr>
    </w:p>
    <w:p w14:paraId="3BDFAC3D">
      <w:pPr>
        <w:spacing w:line="460" w:lineRule="exact"/>
        <w:rPr>
          <w:rFonts w:ascii="宋体" w:hAnsi="宋体" w:cs="新宋体"/>
          <w:color w:val="auto"/>
          <w:sz w:val="22"/>
          <w:szCs w:val="22"/>
          <w:highlight w:val="none"/>
        </w:rPr>
      </w:pPr>
    </w:p>
    <w:p w14:paraId="6FDF9A8E">
      <w:pPr>
        <w:spacing w:line="360" w:lineRule="auto"/>
        <w:jc w:val="left"/>
        <w:outlineLvl w:val="3"/>
        <w:rPr>
          <w:rFonts w:ascii="宋体" w:hAnsi="宋体"/>
          <w:b/>
          <w:color w:val="auto"/>
          <w:sz w:val="36"/>
          <w:szCs w:val="36"/>
          <w:highlight w:val="none"/>
        </w:rPr>
      </w:pPr>
      <w:r>
        <w:rPr>
          <w:rFonts w:hint="eastAsia" w:ascii="宋体" w:hAnsi="宋体"/>
          <w:color w:val="auto"/>
          <w:sz w:val="28"/>
          <w:szCs w:val="28"/>
          <w:highlight w:val="none"/>
        </w:rPr>
        <w:br w:type="page"/>
      </w:r>
      <w:r>
        <w:rPr>
          <w:rFonts w:hint="eastAsia" w:ascii="宋体" w:hAnsi="宋体"/>
          <w:color w:val="auto"/>
          <w:sz w:val="28"/>
          <w:szCs w:val="32"/>
          <w:highlight w:val="none"/>
        </w:rPr>
        <w:t>附件一-1</w:t>
      </w:r>
    </w:p>
    <w:p w14:paraId="5D56008B">
      <w:pPr>
        <w:snapToGrid w:val="0"/>
        <w:spacing w:before="156" w:beforeLines="50" w:after="50" w:line="360" w:lineRule="auto"/>
        <w:jc w:val="center"/>
        <w:outlineLvl w:val="4"/>
        <w:rPr>
          <w:rFonts w:ascii="宋体" w:hAnsi="宋体"/>
          <w:b/>
          <w:color w:val="auto"/>
          <w:sz w:val="28"/>
          <w:szCs w:val="28"/>
          <w:highlight w:val="none"/>
        </w:rPr>
      </w:pPr>
      <w:r>
        <w:rPr>
          <w:rFonts w:hint="eastAsia" w:ascii="宋体" w:hAnsi="宋体"/>
          <w:b/>
          <w:color w:val="auto"/>
          <w:sz w:val="28"/>
          <w:szCs w:val="28"/>
          <w:highlight w:val="none"/>
        </w:rPr>
        <w:t>法定代表人授权委托书</w:t>
      </w:r>
    </w:p>
    <w:p w14:paraId="4D487014">
      <w:pPr>
        <w:snapToGrid w:val="0"/>
        <w:spacing w:before="156" w:beforeLines="50" w:after="50" w:line="360" w:lineRule="auto"/>
        <w:rPr>
          <w:rFonts w:ascii="宋体" w:hAnsi="宋体"/>
          <w:b/>
          <w:bCs/>
          <w:color w:val="auto"/>
          <w:sz w:val="22"/>
          <w:szCs w:val="22"/>
          <w:highlight w:val="none"/>
        </w:rPr>
      </w:pPr>
      <w:r>
        <w:rPr>
          <w:rFonts w:hint="eastAsia" w:ascii="宋体" w:hAnsi="宋体"/>
          <w:bCs/>
          <w:color w:val="auto"/>
          <w:sz w:val="22"/>
          <w:szCs w:val="22"/>
          <w:highlight w:val="none"/>
        </w:rPr>
        <w:t>致：温州港乐清湾港务有限公司</w:t>
      </w:r>
      <w:r>
        <w:rPr>
          <w:rFonts w:hint="eastAsia" w:ascii="宋体" w:hAnsi="宋体"/>
          <w:color w:val="auto"/>
          <w:sz w:val="22"/>
          <w:szCs w:val="22"/>
          <w:highlight w:val="none"/>
        </w:rPr>
        <w:t>：</w:t>
      </w:r>
    </w:p>
    <w:p w14:paraId="5C9E6303">
      <w:pPr>
        <w:snapToGrid w:val="0"/>
        <w:spacing w:before="156" w:beforeLines="50" w:after="50"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我</w:t>
      </w:r>
      <w:r>
        <w:rPr>
          <w:rFonts w:hint="eastAsia" w:ascii="宋体" w:hAnsi="宋体"/>
          <w:color w:val="auto"/>
          <w:sz w:val="22"/>
          <w:szCs w:val="22"/>
          <w:highlight w:val="none"/>
          <w:u w:val="single"/>
        </w:rPr>
        <w:t>（姓名）</w:t>
      </w:r>
      <w:r>
        <w:rPr>
          <w:rFonts w:hint="eastAsia" w:ascii="宋体" w:hAnsi="宋体"/>
          <w:color w:val="auto"/>
          <w:sz w:val="22"/>
          <w:szCs w:val="22"/>
          <w:highlight w:val="none"/>
        </w:rPr>
        <w:t>系</w:t>
      </w:r>
      <w:r>
        <w:rPr>
          <w:rFonts w:hint="eastAsia" w:ascii="宋体" w:hAnsi="宋体"/>
          <w:color w:val="auto"/>
          <w:sz w:val="22"/>
          <w:szCs w:val="22"/>
          <w:highlight w:val="none"/>
          <w:u w:val="single"/>
        </w:rPr>
        <w:t>（投标人名称）</w:t>
      </w:r>
      <w:r>
        <w:rPr>
          <w:rFonts w:hint="eastAsia" w:ascii="宋体" w:hAnsi="宋体"/>
          <w:color w:val="auto"/>
          <w:sz w:val="22"/>
          <w:szCs w:val="22"/>
          <w:highlight w:val="none"/>
        </w:rPr>
        <w:t>的法定代表人，现授权委托本单位在职职工</w:t>
      </w:r>
      <w:r>
        <w:rPr>
          <w:rFonts w:hint="eastAsia" w:ascii="宋体" w:hAnsi="宋体"/>
          <w:color w:val="auto"/>
          <w:sz w:val="22"/>
          <w:szCs w:val="22"/>
          <w:highlight w:val="none"/>
          <w:u w:val="single"/>
        </w:rPr>
        <w:t>（姓名）</w:t>
      </w:r>
      <w:r>
        <w:rPr>
          <w:rFonts w:hint="eastAsia" w:ascii="宋体" w:hAnsi="宋体"/>
          <w:color w:val="auto"/>
          <w:sz w:val="22"/>
          <w:szCs w:val="22"/>
          <w:highlight w:val="none"/>
        </w:rPr>
        <w:t>以我方的名义参加</w:t>
      </w:r>
      <w:r>
        <w:rPr>
          <w:rFonts w:hint="eastAsia" w:ascii="宋体" w:hAnsi="宋体"/>
          <w:color w:val="auto"/>
          <w:sz w:val="22"/>
          <w:szCs w:val="22"/>
          <w:highlight w:val="none"/>
          <w:u w:val="single"/>
        </w:rPr>
        <w:t xml:space="preserve">          项目</w:t>
      </w:r>
      <w:r>
        <w:rPr>
          <w:rFonts w:hint="eastAsia" w:ascii="宋体" w:hAnsi="宋体"/>
          <w:color w:val="auto"/>
          <w:sz w:val="22"/>
          <w:szCs w:val="22"/>
          <w:highlight w:val="none"/>
        </w:rPr>
        <w:t>的投标活动，并代表我方全权办理针对上述项目的投标、开标、评标、签约等具体事务和签署相关文件。</w:t>
      </w:r>
    </w:p>
    <w:p w14:paraId="7C982170">
      <w:pPr>
        <w:snapToGrid w:val="0"/>
        <w:spacing w:before="156" w:beforeLines="50" w:after="50" w:line="360" w:lineRule="auto"/>
        <w:rPr>
          <w:rFonts w:ascii="宋体" w:hAnsi="宋体"/>
          <w:color w:val="auto"/>
          <w:sz w:val="22"/>
          <w:szCs w:val="22"/>
          <w:highlight w:val="none"/>
        </w:rPr>
      </w:pPr>
      <w:r>
        <w:rPr>
          <w:rFonts w:hint="eastAsia" w:ascii="宋体" w:hAnsi="宋体"/>
          <w:color w:val="auto"/>
          <w:sz w:val="22"/>
          <w:szCs w:val="22"/>
          <w:highlight w:val="none"/>
        </w:rPr>
        <w:t>我方对被授权人的签名事项负全部责任。</w:t>
      </w:r>
    </w:p>
    <w:p w14:paraId="74BD346A">
      <w:pPr>
        <w:snapToGrid w:val="0"/>
        <w:spacing w:before="156" w:beforeLines="50" w:after="50" w:line="360" w:lineRule="auto"/>
        <w:ind w:firstLine="480"/>
        <w:rPr>
          <w:rFonts w:ascii="宋体" w:hAnsi="宋体"/>
          <w:color w:val="auto"/>
          <w:sz w:val="22"/>
          <w:szCs w:val="22"/>
          <w:highlight w:val="none"/>
        </w:rPr>
      </w:pPr>
      <w:r>
        <w:rPr>
          <w:rFonts w:hint="eastAsia" w:ascii="宋体" w:hAnsi="宋体"/>
          <w:color w:val="auto"/>
          <w:sz w:val="22"/>
          <w:szCs w:val="22"/>
          <w:highlight w:val="none"/>
          <w:u w:val="single"/>
        </w:rPr>
        <w:t>在撤销授权的书面通知以前，本授权书一直有效。</w:t>
      </w:r>
      <w:r>
        <w:rPr>
          <w:rFonts w:hint="eastAsia" w:ascii="宋体" w:hAnsi="宋体"/>
          <w:color w:val="auto"/>
          <w:sz w:val="22"/>
          <w:szCs w:val="22"/>
          <w:highlight w:val="none"/>
        </w:rPr>
        <w:t>被授权人在授权书有效期内签署的所有文件不因授权的撤销而失效。</w:t>
      </w:r>
    </w:p>
    <w:p w14:paraId="46820DEB">
      <w:pPr>
        <w:snapToGrid w:val="0"/>
        <w:spacing w:before="156" w:beforeLines="50" w:after="50" w:line="360" w:lineRule="auto"/>
        <w:ind w:firstLine="480"/>
        <w:rPr>
          <w:rFonts w:ascii="宋体" w:hAnsi="宋体"/>
          <w:color w:val="auto"/>
          <w:sz w:val="22"/>
          <w:szCs w:val="22"/>
          <w:highlight w:val="none"/>
        </w:rPr>
      </w:pPr>
      <w:r>
        <w:rPr>
          <w:rFonts w:hint="eastAsia" w:ascii="宋体" w:hAnsi="宋体"/>
          <w:color w:val="auto"/>
          <w:sz w:val="22"/>
          <w:szCs w:val="22"/>
          <w:highlight w:val="none"/>
        </w:rPr>
        <w:t>被授权人无转委托权，特此委托。</w:t>
      </w:r>
    </w:p>
    <w:p w14:paraId="7315413A">
      <w:pPr>
        <w:snapToGrid w:val="0"/>
        <w:spacing w:before="156" w:beforeLines="50" w:after="50" w:line="360" w:lineRule="auto"/>
        <w:rPr>
          <w:rFonts w:ascii="宋体" w:hAnsi="宋体"/>
          <w:color w:val="auto"/>
          <w:sz w:val="22"/>
          <w:szCs w:val="22"/>
          <w:highlight w:val="none"/>
        </w:rPr>
      </w:pPr>
    </w:p>
    <w:p w14:paraId="5AA0D2B7">
      <w:pPr>
        <w:snapToGrid w:val="0"/>
        <w:spacing w:before="156" w:beforeLines="50" w:after="50" w:line="360" w:lineRule="auto"/>
        <w:rPr>
          <w:rFonts w:ascii="宋体" w:hAnsi="宋体"/>
          <w:color w:val="auto"/>
          <w:sz w:val="22"/>
          <w:szCs w:val="22"/>
          <w:highlight w:val="none"/>
        </w:rPr>
      </w:pPr>
      <w:r>
        <w:rPr>
          <w:rFonts w:hint="eastAsia" w:ascii="宋体" w:hAnsi="宋体"/>
          <w:color w:val="auto"/>
          <w:sz w:val="22"/>
          <w:szCs w:val="22"/>
          <w:highlight w:val="none"/>
        </w:rPr>
        <w:t>法定代表人签名：</w:t>
      </w:r>
    </w:p>
    <w:p w14:paraId="4A2A02F2">
      <w:pPr>
        <w:snapToGrid w:val="0"/>
        <w:spacing w:before="156" w:beforeLines="50" w:after="50" w:line="360" w:lineRule="auto"/>
        <w:rPr>
          <w:rFonts w:ascii="宋体" w:hAnsi="宋体"/>
          <w:color w:val="auto"/>
          <w:sz w:val="22"/>
          <w:szCs w:val="22"/>
          <w:highlight w:val="none"/>
          <w:u w:val="single"/>
        </w:rPr>
      </w:pPr>
      <w:r>
        <w:rPr>
          <w:rFonts w:hint="eastAsia" w:ascii="宋体" w:hAnsi="宋体"/>
          <w:color w:val="auto"/>
          <w:sz w:val="22"/>
          <w:szCs w:val="22"/>
          <w:highlight w:val="none"/>
        </w:rPr>
        <w:t xml:space="preserve">被授权人签名：                 </w:t>
      </w:r>
    </w:p>
    <w:p w14:paraId="7D9FE50F">
      <w:pPr>
        <w:snapToGrid w:val="0"/>
        <w:spacing w:before="156" w:beforeLines="50" w:after="50" w:line="360" w:lineRule="auto"/>
        <w:rPr>
          <w:rFonts w:ascii="宋体" w:hAnsi="宋体"/>
          <w:color w:val="auto"/>
          <w:sz w:val="22"/>
          <w:szCs w:val="22"/>
          <w:highlight w:val="none"/>
        </w:rPr>
      </w:pPr>
      <w:r>
        <w:rPr>
          <w:rFonts w:hint="eastAsia" w:ascii="宋体" w:hAnsi="宋体"/>
          <w:color w:val="auto"/>
          <w:sz w:val="22"/>
          <w:szCs w:val="22"/>
          <w:highlight w:val="none"/>
        </w:rPr>
        <w:t>被授权人身份证号码：</w:t>
      </w:r>
    </w:p>
    <w:p w14:paraId="605600F0">
      <w:pPr>
        <w:snapToGrid w:val="0"/>
        <w:spacing w:before="156" w:beforeLines="50" w:after="50" w:line="360" w:lineRule="auto"/>
        <w:rPr>
          <w:rFonts w:ascii="宋体" w:hAnsi="宋体"/>
          <w:color w:val="auto"/>
          <w:sz w:val="22"/>
          <w:szCs w:val="22"/>
          <w:highlight w:val="none"/>
        </w:rPr>
      </w:pPr>
      <w:r>
        <w:rPr>
          <w:rFonts w:hint="eastAsia" w:ascii="宋体" w:hAnsi="宋体"/>
          <w:color w:val="auto"/>
          <w:sz w:val="22"/>
          <w:szCs w:val="22"/>
          <w:highlight w:val="none"/>
        </w:rPr>
        <w:t>投标人公章：</w:t>
      </w:r>
    </w:p>
    <w:p w14:paraId="4BF626A6">
      <w:pPr>
        <w:snapToGrid w:val="0"/>
        <w:spacing w:before="156" w:beforeLines="50" w:after="50" w:line="360" w:lineRule="auto"/>
        <w:rPr>
          <w:rFonts w:ascii="宋体" w:hAnsi="宋体"/>
          <w:b/>
          <w:color w:val="auto"/>
          <w:sz w:val="22"/>
          <w:szCs w:val="22"/>
          <w:highlight w:val="none"/>
        </w:rPr>
      </w:pPr>
      <w:r>
        <w:rPr>
          <w:rFonts w:hint="eastAsia" w:ascii="宋体" w:hAnsi="宋体"/>
          <w:color w:val="auto"/>
          <w:sz w:val="22"/>
          <w:szCs w:val="22"/>
          <w:highlight w:val="none"/>
        </w:rPr>
        <w:t>年   月   日</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395E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8" w:hRule="atLeast"/>
        </w:trPr>
        <w:tc>
          <w:tcPr>
            <w:tcW w:w="9288" w:type="dxa"/>
          </w:tcPr>
          <w:p w14:paraId="20DBC58F">
            <w:pPr>
              <w:snapToGrid w:val="0"/>
              <w:spacing w:before="156" w:beforeLines="50" w:after="50" w:line="360" w:lineRule="auto"/>
              <w:rPr>
                <w:rFonts w:ascii="宋体" w:hAnsi="宋体"/>
                <w:b/>
                <w:color w:val="auto"/>
                <w:sz w:val="28"/>
                <w:szCs w:val="28"/>
                <w:highlight w:val="none"/>
              </w:rPr>
            </w:pPr>
            <w:r>
              <w:rPr>
                <w:rFonts w:hint="eastAsia" w:ascii="宋体" w:hAnsi="宋体"/>
                <w:b/>
                <w:color w:val="auto"/>
                <w:sz w:val="28"/>
                <w:szCs w:val="28"/>
                <w:highlight w:val="none"/>
              </w:rPr>
              <w:t>附法定代表人身份证正反面复印件</w:t>
            </w:r>
          </w:p>
        </w:tc>
      </w:tr>
      <w:tr w14:paraId="5573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288" w:type="dxa"/>
          </w:tcPr>
          <w:p w14:paraId="0484A283">
            <w:pPr>
              <w:snapToGrid w:val="0"/>
              <w:spacing w:before="156" w:beforeLines="50" w:after="50" w:line="360" w:lineRule="auto"/>
              <w:rPr>
                <w:rFonts w:ascii="宋体" w:hAnsi="宋体"/>
                <w:b/>
                <w:color w:val="auto"/>
                <w:sz w:val="28"/>
                <w:szCs w:val="28"/>
                <w:highlight w:val="none"/>
              </w:rPr>
            </w:pPr>
            <w:r>
              <w:rPr>
                <w:rFonts w:hint="eastAsia" w:ascii="宋体" w:hAnsi="宋体"/>
                <w:b/>
                <w:color w:val="auto"/>
                <w:sz w:val="28"/>
                <w:szCs w:val="28"/>
                <w:highlight w:val="none"/>
              </w:rPr>
              <w:t>附被授权人身份证正反面复印件</w:t>
            </w:r>
          </w:p>
        </w:tc>
      </w:tr>
    </w:tbl>
    <w:p w14:paraId="71ED96FA">
      <w:pPr>
        <w:spacing w:line="360" w:lineRule="auto"/>
        <w:jc w:val="left"/>
        <w:rPr>
          <w:rFonts w:ascii="宋体" w:hAnsi="宋体" w:cs="宋体"/>
          <w:snapToGrid w:val="0"/>
          <w:color w:val="auto"/>
          <w:sz w:val="28"/>
          <w:szCs w:val="28"/>
          <w:highlight w:val="none"/>
        </w:rPr>
      </w:pPr>
    </w:p>
    <w:p w14:paraId="4D5344F0">
      <w:pPr>
        <w:spacing w:line="360" w:lineRule="auto"/>
        <w:jc w:val="left"/>
        <w:outlineLvl w:val="3"/>
        <w:rPr>
          <w:rFonts w:ascii="宋体" w:hAnsi="宋体"/>
          <w:color w:val="auto"/>
          <w:sz w:val="28"/>
          <w:szCs w:val="32"/>
          <w:highlight w:val="none"/>
        </w:rPr>
      </w:pPr>
      <w:r>
        <w:rPr>
          <w:rFonts w:hint="eastAsia" w:ascii="宋体" w:hAnsi="宋体"/>
          <w:color w:val="auto"/>
          <w:sz w:val="28"/>
          <w:szCs w:val="32"/>
          <w:highlight w:val="none"/>
        </w:rPr>
        <w:t>附件一-2</w:t>
      </w:r>
    </w:p>
    <w:p w14:paraId="3BF2B011">
      <w:pPr>
        <w:spacing w:line="360" w:lineRule="auto"/>
        <w:jc w:val="center"/>
        <w:outlineLvl w:val="4"/>
        <w:rPr>
          <w:rFonts w:ascii="宋体" w:hAnsi="宋体" w:cs="宋体"/>
          <w:b/>
          <w:bCs/>
          <w:snapToGrid w:val="0"/>
          <w:color w:val="auto"/>
          <w:sz w:val="28"/>
          <w:szCs w:val="28"/>
          <w:highlight w:val="none"/>
        </w:rPr>
      </w:pPr>
      <w:r>
        <w:rPr>
          <w:rFonts w:hint="eastAsia" w:ascii="宋体" w:hAnsi="宋体" w:cs="宋体"/>
          <w:b/>
          <w:bCs/>
          <w:snapToGrid w:val="0"/>
          <w:color w:val="auto"/>
          <w:sz w:val="28"/>
          <w:szCs w:val="28"/>
          <w:highlight w:val="none"/>
        </w:rPr>
        <w:t>法定代表人资格证明书</w:t>
      </w:r>
    </w:p>
    <w:p w14:paraId="58102807">
      <w:pPr>
        <w:spacing w:line="360" w:lineRule="auto"/>
        <w:ind w:left="-6" w:leftChars="-3" w:firstLine="440" w:firstLineChars="200"/>
        <w:rPr>
          <w:rFonts w:ascii="宋体" w:hAnsi="宋体" w:cs="宋体"/>
          <w:color w:val="auto"/>
          <w:sz w:val="22"/>
          <w:szCs w:val="22"/>
          <w:highlight w:val="none"/>
        </w:rPr>
      </w:pPr>
    </w:p>
    <w:p w14:paraId="42115ACA">
      <w:pPr>
        <w:spacing w:line="360" w:lineRule="auto"/>
        <w:ind w:left="-6" w:leftChars="-3" w:firstLine="440" w:firstLineChars="200"/>
        <w:rPr>
          <w:rFonts w:ascii="宋体" w:hAnsi="宋体" w:cs="宋体"/>
          <w:color w:val="auto"/>
          <w:sz w:val="22"/>
          <w:szCs w:val="22"/>
          <w:highlight w:val="none"/>
        </w:rPr>
      </w:pPr>
    </w:p>
    <w:p w14:paraId="7730AFE7">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单位名称：</w:t>
      </w:r>
    </w:p>
    <w:p w14:paraId="638683B5">
      <w:pPr>
        <w:spacing w:line="360" w:lineRule="auto"/>
        <w:ind w:left="-6" w:leftChars="-3"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地    址：</w:t>
      </w:r>
    </w:p>
    <w:p w14:paraId="7C875BE1">
      <w:pPr>
        <w:spacing w:line="360" w:lineRule="auto"/>
        <w:ind w:left="-6" w:leftChars="-3"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姓名： 性别：年龄：职务：</w:t>
      </w:r>
    </w:p>
    <w:p w14:paraId="56D83A4B">
      <w:pPr>
        <w:spacing w:line="360" w:lineRule="auto"/>
        <w:ind w:left="-6" w:leftChars="-3"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身份证号码：系</w:t>
      </w:r>
      <w:r>
        <w:rPr>
          <w:rFonts w:hint="eastAsia" w:ascii="宋体" w:hAnsi="宋体" w:cs="宋体"/>
          <w:color w:val="auto"/>
          <w:sz w:val="22"/>
          <w:szCs w:val="22"/>
          <w:highlight w:val="none"/>
          <w:u w:val="single"/>
        </w:rPr>
        <w:t xml:space="preserve">               （单位名称）</w:t>
      </w:r>
      <w:r>
        <w:rPr>
          <w:rFonts w:hint="eastAsia" w:ascii="宋体" w:hAnsi="宋体" w:cs="宋体"/>
          <w:color w:val="auto"/>
          <w:sz w:val="22"/>
          <w:szCs w:val="22"/>
          <w:highlight w:val="none"/>
        </w:rPr>
        <w:t>的法定代表人。</w:t>
      </w:r>
    </w:p>
    <w:p w14:paraId="44934882">
      <w:pPr>
        <w:spacing w:line="360" w:lineRule="auto"/>
        <w:ind w:left="-6" w:leftChars="-3"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特此证明。</w:t>
      </w:r>
    </w:p>
    <w:p w14:paraId="7D65FB0B">
      <w:pPr>
        <w:spacing w:line="360" w:lineRule="auto"/>
        <w:ind w:left="4060" w:leftChars="1881" w:hanging="110" w:hangingChars="50"/>
        <w:rPr>
          <w:rFonts w:ascii="宋体" w:hAnsi="宋体" w:cs="宋体"/>
          <w:color w:val="auto"/>
          <w:sz w:val="22"/>
          <w:szCs w:val="22"/>
          <w:highlight w:val="none"/>
        </w:rPr>
      </w:pPr>
    </w:p>
    <w:p w14:paraId="6D794C74">
      <w:pPr>
        <w:spacing w:line="360" w:lineRule="auto"/>
        <w:ind w:left="4060" w:leftChars="1881" w:hanging="110" w:hangingChars="50"/>
        <w:rPr>
          <w:rFonts w:ascii="宋体" w:hAnsi="宋体" w:cs="宋体"/>
          <w:color w:val="auto"/>
          <w:sz w:val="22"/>
          <w:szCs w:val="22"/>
          <w:highlight w:val="none"/>
        </w:rPr>
      </w:pPr>
    </w:p>
    <w:p w14:paraId="63DAEE12">
      <w:pPr>
        <w:spacing w:line="360" w:lineRule="auto"/>
        <w:ind w:left="4060" w:leftChars="1881" w:hanging="110" w:hangingChars="50"/>
        <w:rPr>
          <w:rFonts w:ascii="宋体" w:hAnsi="宋体" w:cs="宋体"/>
          <w:color w:val="auto"/>
          <w:sz w:val="22"/>
          <w:szCs w:val="22"/>
          <w:highlight w:val="none"/>
        </w:rPr>
      </w:pPr>
    </w:p>
    <w:p w14:paraId="2A295504">
      <w:pPr>
        <w:spacing w:line="360" w:lineRule="auto"/>
        <w:ind w:left="4060" w:leftChars="1881" w:hanging="110" w:hangingChars="50"/>
        <w:rPr>
          <w:rFonts w:ascii="宋体" w:hAnsi="宋体" w:cs="宋体"/>
          <w:color w:val="auto"/>
          <w:sz w:val="22"/>
          <w:szCs w:val="22"/>
          <w:highlight w:val="none"/>
        </w:rPr>
      </w:pPr>
      <w:r>
        <w:rPr>
          <w:rFonts w:hint="eastAsia" w:ascii="宋体" w:hAnsi="宋体" w:cs="宋体"/>
          <w:color w:val="auto"/>
          <w:sz w:val="22"/>
          <w:szCs w:val="22"/>
          <w:highlight w:val="none"/>
        </w:rPr>
        <w:t>投  标  人(盖公章)：</w:t>
      </w:r>
    </w:p>
    <w:p w14:paraId="0B8E648C">
      <w:pPr>
        <w:spacing w:line="360" w:lineRule="auto"/>
        <w:ind w:left="4060" w:leftChars="1881" w:hanging="110" w:hangingChars="50"/>
        <w:rPr>
          <w:rFonts w:ascii="宋体" w:hAnsi="宋体" w:cs="宋体"/>
          <w:bCs/>
          <w:color w:val="auto"/>
          <w:sz w:val="22"/>
          <w:szCs w:val="22"/>
          <w:highlight w:val="none"/>
        </w:rPr>
      </w:pPr>
    </w:p>
    <w:p w14:paraId="5707087E">
      <w:pPr>
        <w:spacing w:line="360" w:lineRule="auto"/>
        <w:ind w:left="4060" w:leftChars="1881" w:hanging="110" w:hangingChars="50"/>
        <w:rPr>
          <w:rFonts w:ascii="宋体" w:hAnsi="宋体" w:cs="宋体"/>
          <w:color w:val="auto"/>
          <w:sz w:val="22"/>
          <w:szCs w:val="22"/>
          <w:highlight w:val="none"/>
        </w:rPr>
      </w:pPr>
      <w:r>
        <w:rPr>
          <w:rFonts w:hint="eastAsia" w:ascii="宋体" w:hAnsi="宋体" w:cs="宋体"/>
          <w:bCs/>
          <w:color w:val="auto"/>
          <w:sz w:val="22"/>
          <w:szCs w:val="22"/>
          <w:highlight w:val="none"/>
        </w:rPr>
        <w:t xml:space="preserve">日      期： </w:t>
      </w:r>
      <w:r>
        <w:rPr>
          <w:rFonts w:hint="eastAsia" w:ascii="宋体" w:hAnsi="宋体" w:cs="宋体"/>
          <w:color w:val="auto"/>
          <w:sz w:val="22"/>
          <w:szCs w:val="22"/>
          <w:highlight w:val="none"/>
        </w:rPr>
        <w:t>年  月   日</w:t>
      </w:r>
    </w:p>
    <w:p w14:paraId="3AF33734">
      <w:pPr>
        <w:spacing w:line="360" w:lineRule="auto"/>
        <w:jc w:val="left"/>
        <w:outlineLvl w:val="3"/>
        <w:rPr>
          <w:rFonts w:ascii="宋体" w:hAnsi="宋体"/>
          <w:b/>
          <w:color w:val="auto"/>
          <w:sz w:val="28"/>
          <w:szCs w:val="28"/>
          <w:highlight w:val="none"/>
        </w:rPr>
      </w:pPr>
      <w:r>
        <w:rPr>
          <w:rFonts w:ascii="宋体" w:hAnsi="宋体"/>
          <w:b/>
          <w:color w:val="auto"/>
          <w:sz w:val="22"/>
          <w:szCs w:val="22"/>
          <w:highlight w:val="none"/>
        </w:rPr>
        <w:br w:type="page"/>
      </w:r>
      <w:r>
        <w:rPr>
          <w:rFonts w:hint="eastAsia" w:ascii="宋体" w:hAnsi="宋体"/>
          <w:color w:val="auto"/>
          <w:sz w:val="28"/>
          <w:szCs w:val="32"/>
          <w:highlight w:val="none"/>
        </w:rPr>
        <w:t>附件二</w:t>
      </w:r>
    </w:p>
    <w:p w14:paraId="771EFFD5">
      <w:pPr>
        <w:snapToGrid w:val="0"/>
        <w:spacing w:before="156" w:beforeLines="50" w:after="50" w:line="360" w:lineRule="auto"/>
        <w:jc w:val="center"/>
        <w:outlineLvl w:val="4"/>
        <w:rPr>
          <w:rFonts w:ascii="宋体" w:hAnsi="宋体"/>
          <w:b/>
          <w:color w:val="auto"/>
          <w:sz w:val="28"/>
          <w:szCs w:val="28"/>
          <w:highlight w:val="none"/>
        </w:rPr>
      </w:pPr>
      <w:r>
        <w:rPr>
          <w:rFonts w:hint="eastAsia" w:ascii="宋体" w:hAnsi="宋体"/>
          <w:b/>
          <w:color w:val="auto"/>
          <w:sz w:val="28"/>
          <w:szCs w:val="28"/>
          <w:highlight w:val="none"/>
        </w:rPr>
        <w:t>投标声明书</w:t>
      </w:r>
    </w:p>
    <w:p w14:paraId="40C48737">
      <w:pPr>
        <w:snapToGrid w:val="0"/>
        <w:spacing w:before="156" w:beforeLines="50" w:after="50" w:line="360" w:lineRule="auto"/>
        <w:rPr>
          <w:rFonts w:ascii="宋体" w:hAnsi="宋体" w:cs="宋体"/>
          <w:color w:val="auto"/>
          <w:sz w:val="22"/>
          <w:szCs w:val="22"/>
          <w:highlight w:val="none"/>
        </w:rPr>
      </w:pPr>
      <w:r>
        <w:rPr>
          <w:rFonts w:hint="eastAsia" w:ascii="宋体" w:hAnsi="宋体" w:cs="宋体"/>
          <w:color w:val="auto"/>
          <w:sz w:val="22"/>
          <w:szCs w:val="22"/>
          <w:highlight w:val="none"/>
        </w:rPr>
        <w:t>致：温州港乐清湾港务有限公司：</w:t>
      </w:r>
    </w:p>
    <w:p w14:paraId="1C3F2977">
      <w:pPr>
        <w:snapToGrid w:val="0"/>
        <w:spacing w:before="156" w:beforeLines="50" w:after="50" w:line="360" w:lineRule="auto"/>
        <w:ind w:firstLine="660" w:firstLineChars="300"/>
        <w:rPr>
          <w:rFonts w:ascii="宋体" w:hAnsi="宋体" w:cs="宋体"/>
          <w:color w:val="auto"/>
          <w:sz w:val="22"/>
          <w:szCs w:val="22"/>
          <w:highlight w:val="none"/>
        </w:rPr>
      </w:pPr>
      <w:r>
        <w:rPr>
          <w:rFonts w:hint="eastAsia" w:ascii="宋体" w:hAnsi="宋体" w:cs="宋体"/>
          <w:color w:val="auto"/>
          <w:sz w:val="22"/>
          <w:szCs w:val="22"/>
          <w:highlight w:val="none"/>
          <w:u w:val="single"/>
        </w:rPr>
        <w:t>（投标人名称）</w:t>
      </w:r>
      <w:r>
        <w:rPr>
          <w:rFonts w:hint="eastAsia" w:ascii="宋体" w:hAnsi="宋体" w:cs="宋体"/>
          <w:color w:val="auto"/>
          <w:sz w:val="22"/>
          <w:szCs w:val="22"/>
          <w:highlight w:val="none"/>
        </w:rPr>
        <w:t>系中华人民共和国合法企业，经营地址。</w:t>
      </w:r>
    </w:p>
    <w:p w14:paraId="2B85C9DD">
      <w:pPr>
        <w:snapToGrid w:val="0"/>
        <w:spacing w:before="156" w:beforeLines="50" w:after="50" w:line="360" w:lineRule="auto"/>
        <w:ind w:firstLine="645"/>
        <w:rPr>
          <w:rFonts w:ascii="宋体" w:hAnsi="宋体" w:cs="宋体"/>
          <w:color w:val="auto"/>
          <w:sz w:val="22"/>
          <w:szCs w:val="22"/>
          <w:highlight w:val="none"/>
        </w:rPr>
      </w:pPr>
      <w:r>
        <w:rPr>
          <w:rFonts w:hint="eastAsia" w:ascii="宋体" w:hAnsi="宋体" w:cs="宋体"/>
          <w:color w:val="auto"/>
          <w:sz w:val="22"/>
          <w:szCs w:val="22"/>
          <w:highlight w:val="none"/>
        </w:rPr>
        <w:t>我</w:t>
      </w:r>
      <w:r>
        <w:rPr>
          <w:rFonts w:hint="eastAsia" w:ascii="宋体" w:hAnsi="宋体" w:cs="宋体"/>
          <w:color w:val="auto"/>
          <w:sz w:val="22"/>
          <w:szCs w:val="22"/>
          <w:highlight w:val="none"/>
          <w:u w:val="single"/>
        </w:rPr>
        <w:t>（姓名）</w:t>
      </w:r>
      <w:r>
        <w:rPr>
          <w:rFonts w:hint="eastAsia" w:ascii="宋体" w:hAnsi="宋体" w:cs="宋体"/>
          <w:color w:val="auto"/>
          <w:sz w:val="22"/>
          <w:szCs w:val="22"/>
          <w:highlight w:val="none"/>
        </w:rPr>
        <w:t>系</w:t>
      </w:r>
      <w:r>
        <w:rPr>
          <w:rFonts w:hint="eastAsia" w:ascii="宋体" w:hAnsi="宋体" w:cs="宋体"/>
          <w:color w:val="auto"/>
          <w:sz w:val="22"/>
          <w:szCs w:val="22"/>
          <w:highlight w:val="none"/>
          <w:u w:val="single"/>
        </w:rPr>
        <w:t>（投标人名称）</w:t>
      </w:r>
      <w:r>
        <w:rPr>
          <w:rFonts w:hint="eastAsia" w:ascii="宋体" w:hAnsi="宋体" w:cs="宋体"/>
          <w:color w:val="auto"/>
          <w:sz w:val="22"/>
          <w:szCs w:val="22"/>
          <w:highlight w:val="none"/>
        </w:rPr>
        <w:t>的法定代表人，我方愿意参加贵方组织的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项目的投标，为便于贵方公正、择优地确定中标人及其投标产品和服务，我方就本次投标有关事项郑重声明如下：</w:t>
      </w:r>
    </w:p>
    <w:p w14:paraId="4052E308">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1.我方向贵方提交的所有投标文件、资料都是准确的和真实的。</w:t>
      </w:r>
    </w:p>
    <w:p w14:paraId="3FC5CB20">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2.我方不是招标人的附属机构；在获知本项目采购信息后，与招标人聘请的为此项目提供咨询服务的公司及其附属机构没有任何联系。</w:t>
      </w:r>
    </w:p>
    <w:p w14:paraId="3826BB66">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3.我方不是联合体投标，假如有幸中标我方承诺不会将本项目分包转包</w:t>
      </w:r>
    </w:p>
    <w:p w14:paraId="3C99559B">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4.我方与其他投标人不存在“单位负责人为同一人或者存在控股、管理关系”，否则均按否决投标处理。</w:t>
      </w:r>
    </w:p>
    <w:p w14:paraId="4CAEF7B9">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5.我方符合招标文件规定的投标人资格条件。</w:t>
      </w:r>
    </w:p>
    <w:p w14:paraId="1B1D80CB">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6.以上事项如有虚假或隐瞒，我方愿意承担一切后果，并不再寻求任何旨在减轻或免除法律责任的辩解。</w:t>
      </w:r>
    </w:p>
    <w:p w14:paraId="3893622F">
      <w:pPr>
        <w:pStyle w:val="14"/>
        <w:tabs>
          <w:tab w:val="left" w:pos="939"/>
        </w:tabs>
        <w:snapToGrid w:val="0"/>
        <w:spacing w:line="360" w:lineRule="auto"/>
        <w:ind w:left="735" w:leftChars="150" w:hanging="420" w:hangingChars="191"/>
        <w:rPr>
          <w:rFonts w:ascii="宋体" w:hAnsi="宋体" w:cs="宋体"/>
          <w:color w:val="auto"/>
          <w:sz w:val="22"/>
          <w:szCs w:val="22"/>
          <w:highlight w:val="none"/>
        </w:rPr>
      </w:pPr>
    </w:p>
    <w:p w14:paraId="6DC5435D">
      <w:pPr>
        <w:snapToGrid w:val="0"/>
        <w:spacing w:before="156" w:beforeLines="50" w:line="360" w:lineRule="auto"/>
        <w:ind w:firstLine="440" w:firstLineChars="200"/>
        <w:rPr>
          <w:rFonts w:ascii="宋体" w:hAnsi="宋体" w:cs="宋体"/>
          <w:color w:val="auto"/>
          <w:sz w:val="22"/>
          <w:szCs w:val="22"/>
          <w:highlight w:val="none"/>
        </w:rPr>
      </w:pPr>
    </w:p>
    <w:p w14:paraId="27A6255E">
      <w:pPr>
        <w:spacing w:line="38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投标人全称（加盖单位公章）： </w:t>
      </w:r>
    </w:p>
    <w:p w14:paraId="051321C2">
      <w:pPr>
        <w:spacing w:line="38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14:paraId="2BD54E20">
      <w:pPr>
        <w:spacing w:line="38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7728F13B">
      <w:pPr>
        <w:spacing w:line="360" w:lineRule="auto"/>
        <w:jc w:val="left"/>
        <w:outlineLvl w:val="3"/>
        <w:rPr>
          <w:rFonts w:ascii="宋体" w:hAnsi="宋体"/>
          <w:color w:val="auto"/>
          <w:sz w:val="28"/>
          <w:szCs w:val="28"/>
          <w:highlight w:val="none"/>
        </w:rPr>
      </w:pPr>
      <w:r>
        <w:rPr>
          <w:rFonts w:ascii="宋体" w:hAnsi="宋体"/>
          <w:color w:val="auto"/>
          <w:sz w:val="28"/>
          <w:szCs w:val="28"/>
          <w:highlight w:val="none"/>
        </w:rPr>
        <w:br w:type="page"/>
      </w:r>
      <w:r>
        <w:rPr>
          <w:rFonts w:hint="eastAsia" w:ascii="宋体" w:hAnsi="宋体"/>
          <w:color w:val="auto"/>
          <w:sz w:val="28"/>
          <w:szCs w:val="32"/>
          <w:highlight w:val="none"/>
        </w:rPr>
        <w:t>附件三</w:t>
      </w:r>
    </w:p>
    <w:p w14:paraId="71E54D73">
      <w:pPr>
        <w:spacing w:line="360" w:lineRule="auto"/>
        <w:jc w:val="center"/>
        <w:outlineLvl w:val="4"/>
        <w:rPr>
          <w:b/>
          <w:bCs/>
          <w:snapToGrid w:val="0"/>
          <w:color w:val="auto"/>
          <w:sz w:val="28"/>
          <w:szCs w:val="28"/>
          <w:highlight w:val="none"/>
        </w:rPr>
      </w:pPr>
      <w:r>
        <w:rPr>
          <w:rFonts w:hint="eastAsia"/>
          <w:b/>
          <w:bCs/>
          <w:snapToGrid w:val="0"/>
          <w:color w:val="auto"/>
          <w:sz w:val="28"/>
          <w:szCs w:val="28"/>
          <w:highlight w:val="none"/>
        </w:rPr>
        <w:t>营业执照(或事业法人登记证书或其它工商等登记证明材料)</w:t>
      </w:r>
      <w:r>
        <w:rPr>
          <w:b/>
          <w:bCs/>
          <w:snapToGrid w:val="0"/>
          <w:color w:val="auto"/>
          <w:sz w:val="28"/>
          <w:szCs w:val="28"/>
          <w:highlight w:val="none"/>
        </w:rPr>
        <w:t xml:space="preserve"> </w:t>
      </w:r>
    </w:p>
    <w:p w14:paraId="5180AE50">
      <w:pPr>
        <w:spacing w:line="460" w:lineRule="exact"/>
        <w:rPr>
          <w:rFonts w:ascii="宋体" w:hAnsi="宋体" w:cs="Courier New"/>
          <w:b/>
          <w:color w:val="auto"/>
          <w:sz w:val="22"/>
          <w:szCs w:val="22"/>
          <w:highlight w:val="none"/>
        </w:rPr>
      </w:pPr>
      <w:r>
        <w:rPr>
          <w:rFonts w:hint="eastAsia" w:ascii="宋体" w:hAnsi="宋体" w:cs="Courier New"/>
          <w:b/>
          <w:color w:val="auto"/>
          <w:sz w:val="22"/>
          <w:szCs w:val="22"/>
          <w:highlight w:val="none"/>
        </w:rPr>
        <w:t>说明：</w:t>
      </w:r>
    </w:p>
    <w:p w14:paraId="2DD05DD3">
      <w:pPr>
        <w:spacing w:line="460" w:lineRule="exact"/>
        <w:rPr>
          <w:rFonts w:ascii="宋体" w:hAnsi="宋体" w:cs="Courier New"/>
          <w:b/>
          <w:color w:val="auto"/>
          <w:sz w:val="22"/>
          <w:szCs w:val="22"/>
          <w:highlight w:val="none"/>
        </w:rPr>
      </w:pPr>
      <w:r>
        <w:rPr>
          <w:rFonts w:ascii="宋体" w:hAnsi="宋体" w:cs="Courier New"/>
          <w:b/>
          <w:color w:val="auto"/>
          <w:sz w:val="22"/>
          <w:szCs w:val="22"/>
          <w:highlight w:val="none"/>
        </w:rPr>
        <w:t>1</w:t>
      </w:r>
      <w:r>
        <w:rPr>
          <w:rFonts w:hint="eastAsia" w:ascii="宋体" w:hAnsi="宋体" w:cs="Courier New"/>
          <w:b/>
          <w:color w:val="auto"/>
          <w:sz w:val="22"/>
          <w:szCs w:val="22"/>
          <w:highlight w:val="none"/>
        </w:rPr>
        <w:t>、投标人</w:t>
      </w:r>
      <w:r>
        <w:rPr>
          <w:rFonts w:ascii="宋体" w:hAnsi="宋体" w:cs="Courier New"/>
          <w:b/>
          <w:color w:val="auto"/>
          <w:sz w:val="22"/>
          <w:szCs w:val="22"/>
          <w:highlight w:val="none"/>
        </w:rPr>
        <w:t>为企业的，提供有效的营业执照复印件；</w:t>
      </w:r>
      <w:r>
        <w:rPr>
          <w:rFonts w:hint="eastAsia" w:ascii="宋体" w:hAnsi="宋体" w:cs="Courier New"/>
          <w:b/>
          <w:color w:val="auto"/>
          <w:sz w:val="22"/>
          <w:szCs w:val="22"/>
          <w:highlight w:val="none"/>
        </w:rPr>
        <w:t>投标人</w:t>
      </w:r>
      <w:r>
        <w:rPr>
          <w:rFonts w:ascii="宋体" w:hAnsi="宋体" w:cs="Courier New"/>
          <w:b/>
          <w:color w:val="auto"/>
          <w:sz w:val="22"/>
          <w:szCs w:val="22"/>
          <w:highlight w:val="none"/>
        </w:rPr>
        <w:t>为事业单位的，提供有效的事业单位法人证书复印件；</w:t>
      </w:r>
      <w:r>
        <w:rPr>
          <w:rFonts w:hint="eastAsia" w:ascii="宋体" w:hAnsi="宋体" w:cs="Courier New"/>
          <w:b/>
          <w:color w:val="auto"/>
          <w:sz w:val="22"/>
          <w:szCs w:val="22"/>
          <w:highlight w:val="none"/>
        </w:rPr>
        <w:t>投标人</w:t>
      </w:r>
      <w:r>
        <w:rPr>
          <w:rFonts w:ascii="宋体" w:hAnsi="宋体" w:cs="Courier New"/>
          <w:b/>
          <w:color w:val="auto"/>
          <w:sz w:val="22"/>
          <w:szCs w:val="22"/>
          <w:highlight w:val="none"/>
        </w:rPr>
        <w:t>为社会团体的，提供有效的社会团体法人登记证书复印件；</w:t>
      </w:r>
      <w:r>
        <w:rPr>
          <w:rFonts w:hint="eastAsia" w:ascii="宋体" w:hAnsi="宋体" w:cs="Courier New"/>
          <w:b/>
          <w:color w:val="auto"/>
          <w:sz w:val="22"/>
          <w:szCs w:val="22"/>
          <w:highlight w:val="none"/>
        </w:rPr>
        <w:t>投标人</w:t>
      </w:r>
      <w:r>
        <w:rPr>
          <w:rFonts w:ascii="宋体" w:hAnsi="宋体" w:cs="Courier New"/>
          <w:b/>
          <w:color w:val="auto"/>
          <w:sz w:val="22"/>
          <w:szCs w:val="22"/>
          <w:highlight w:val="none"/>
        </w:rPr>
        <w:t>为合伙企业、个体工商户的，提供有效的营业执照复印件；</w:t>
      </w:r>
      <w:r>
        <w:rPr>
          <w:rFonts w:hint="eastAsia" w:ascii="宋体" w:hAnsi="宋体" w:cs="Courier New"/>
          <w:b/>
          <w:color w:val="auto"/>
          <w:sz w:val="22"/>
          <w:szCs w:val="22"/>
          <w:highlight w:val="none"/>
        </w:rPr>
        <w:t>投标人</w:t>
      </w:r>
      <w:r>
        <w:rPr>
          <w:rFonts w:ascii="宋体" w:hAnsi="宋体" w:cs="Courier New"/>
          <w:b/>
          <w:color w:val="auto"/>
          <w:sz w:val="22"/>
          <w:szCs w:val="22"/>
          <w:highlight w:val="none"/>
        </w:rPr>
        <w:t>为非企业专业服务机构的，提供有效的执业许可证等证明材料复印件；其他</w:t>
      </w:r>
      <w:r>
        <w:rPr>
          <w:rFonts w:hint="eastAsia" w:ascii="宋体" w:hAnsi="宋体" w:cs="Courier New"/>
          <w:b/>
          <w:color w:val="auto"/>
          <w:sz w:val="22"/>
          <w:szCs w:val="22"/>
          <w:highlight w:val="none"/>
        </w:rPr>
        <w:t>投标人</w:t>
      </w:r>
      <w:r>
        <w:rPr>
          <w:rFonts w:ascii="宋体" w:hAnsi="宋体" w:cs="Courier New"/>
          <w:b/>
          <w:color w:val="auto"/>
          <w:sz w:val="22"/>
          <w:szCs w:val="22"/>
          <w:highlight w:val="none"/>
        </w:rPr>
        <w:t>应按照有关法律、法规和规章规定，提供有效的相应具体证照复印件。</w:t>
      </w:r>
    </w:p>
    <w:p w14:paraId="32B9196D">
      <w:pPr>
        <w:spacing w:line="460" w:lineRule="exact"/>
        <w:rPr>
          <w:rFonts w:ascii="宋体" w:hAnsi="宋体" w:cs="Courier New"/>
          <w:b/>
          <w:color w:val="auto"/>
          <w:sz w:val="22"/>
          <w:szCs w:val="22"/>
          <w:highlight w:val="none"/>
        </w:rPr>
      </w:pPr>
      <w:r>
        <w:rPr>
          <w:rFonts w:ascii="宋体" w:hAnsi="宋体" w:cs="Courier New"/>
          <w:b/>
          <w:color w:val="auto"/>
          <w:sz w:val="22"/>
          <w:szCs w:val="22"/>
          <w:highlight w:val="none"/>
        </w:rPr>
        <w:t>2、</w:t>
      </w:r>
      <w:r>
        <w:rPr>
          <w:rFonts w:hint="eastAsia" w:ascii="宋体" w:hAnsi="宋体" w:cs="Courier New"/>
          <w:b/>
          <w:color w:val="auto"/>
          <w:sz w:val="22"/>
          <w:szCs w:val="22"/>
          <w:highlight w:val="none"/>
        </w:rPr>
        <w:t>投标人</w:t>
      </w:r>
      <w:r>
        <w:rPr>
          <w:rFonts w:ascii="宋体" w:hAnsi="宋体" w:cs="Courier New"/>
          <w:b/>
          <w:color w:val="auto"/>
          <w:sz w:val="22"/>
          <w:szCs w:val="22"/>
          <w:highlight w:val="none"/>
        </w:rPr>
        <w:t>提供的相应证明材料复印件均应符合：内容完整、清晰、整洁，并由</w:t>
      </w:r>
      <w:r>
        <w:rPr>
          <w:rFonts w:hint="eastAsia" w:ascii="宋体" w:hAnsi="宋体" w:cs="Courier New"/>
          <w:b/>
          <w:color w:val="auto"/>
          <w:sz w:val="22"/>
          <w:szCs w:val="22"/>
          <w:highlight w:val="none"/>
        </w:rPr>
        <w:t>投标人</w:t>
      </w:r>
      <w:r>
        <w:rPr>
          <w:rFonts w:ascii="宋体" w:hAnsi="宋体" w:cs="Courier New"/>
          <w:b/>
          <w:color w:val="auto"/>
          <w:sz w:val="22"/>
          <w:szCs w:val="22"/>
          <w:highlight w:val="none"/>
        </w:rPr>
        <w:t>加盖其单位公章。</w:t>
      </w:r>
    </w:p>
    <w:p w14:paraId="47BD0C4C">
      <w:pPr>
        <w:widowControl/>
        <w:adjustRightInd w:val="0"/>
        <w:snapToGrid w:val="0"/>
        <w:spacing w:line="360" w:lineRule="auto"/>
        <w:ind w:firstLine="703"/>
        <w:jc w:val="center"/>
        <w:rPr>
          <w:b/>
          <w:bCs/>
          <w:snapToGrid w:val="0"/>
          <w:color w:val="auto"/>
          <w:sz w:val="28"/>
          <w:szCs w:val="28"/>
          <w:highlight w:val="none"/>
        </w:rPr>
      </w:pPr>
    </w:p>
    <w:p w14:paraId="47620219">
      <w:pPr>
        <w:snapToGrid w:val="0"/>
        <w:spacing w:before="50" w:after="50" w:line="360" w:lineRule="auto"/>
        <w:rPr>
          <w:rFonts w:ascii="宋体" w:hAnsi="宋体" w:cs="宋体"/>
          <w:color w:val="auto"/>
          <w:sz w:val="28"/>
          <w:szCs w:val="28"/>
          <w:highlight w:val="none"/>
        </w:rPr>
      </w:pPr>
    </w:p>
    <w:p w14:paraId="08B5261E">
      <w:pPr>
        <w:snapToGrid w:val="0"/>
        <w:spacing w:before="50" w:after="50" w:line="360" w:lineRule="auto"/>
        <w:rPr>
          <w:rFonts w:ascii="宋体" w:hAnsi="宋体" w:cs="宋体"/>
          <w:color w:val="auto"/>
          <w:sz w:val="28"/>
          <w:szCs w:val="28"/>
          <w:highlight w:val="none"/>
        </w:rPr>
      </w:pPr>
    </w:p>
    <w:p w14:paraId="4E31EBBB">
      <w:pPr>
        <w:snapToGrid w:val="0"/>
        <w:spacing w:before="50" w:after="50" w:line="360" w:lineRule="auto"/>
        <w:rPr>
          <w:rFonts w:ascii="宋体" w:hAnsi="宋体" w:cs="宋体"/>
          <w:color w:val="auto"/>
          <w:sz w:val="28"/>
          <w:szCs w:val="28"/>
          <w:highlight w:val="none"/>
        </w:rPr>
      </w:pPr>
    </w:p>
    <w:p w14:paraId="730B98BE">
      <w:pPr>
        <w:snapToGrid w:val="0"/>
        <w:spacing w:before="50" w:after="50" w:line="360" w:lineRule="auto"/>
        <w:rPr>
          <w:rFonts w:ascii="宋体" w:hAnsi="宋体" w:cs="宋体"/>
          <w:color w:val="auto"/>
          <w:sz w:val="28"/>
          <w:szCs w:val="28"/>
          <w:highlight w:val="none"/>
        </w:rPr>
      </w:pPr>
    </w:p>
    <w:p w14:paraId="472098B7">
      <w:pPr>
        <w:snapToGrid w:val="0"/>
        <w:spacing w:before="50" w:after="50" w:line="360" w:lineRule="auto"/>
        <w:rPr>
          <w:rFonts w:ascii="宋体" w:hAnsi="宋体" w:cs="宋体"/>
          <w:color w:val="auto"/>
          <w:sz w:val="28"/>
          <w:szCs w:val="28"/>
          <w:highlight w:val="none"/>
        </w:rPr>
      </w:pPr>
    </w:p>
    <w:p w14:paraId="57C3DE01">
      <w:pPr>
        <w:snapToGrid w:val="0"/>
        <w:spacing w:before="50" w:after="50" w:line="360" w:lineRule="auto"/>
        <w:rPr>
          <w:rFonts w:ascii="宋体" w:hAnsi="宋体" w:cs="宋体"/>
          <w:color w:val="auto"/>
          <w:sz w:val="28"/>
          <w:szCs w:val="28"/>
          <w:highlight w:val="none"/>
        </w:rPr>
      </w:pPr>
    </w:p>
    <w:p w14:paraId="40A76622">
      <w:pPr>
        <w:snapToGrid w:val="0"/>
        <w:spacing w:before="50" w:after="50" w:line="360" w:lineRule="auto"/>
        <w:rPr>
          <w:rFonts w:ascii="宋体" w:hAnsi="宋体" w:cs="宋体"/>
          <w:color w:val="auto"/>
          <w:sz w:val="28"/>
          <w:szCs w:val="28"/>
          <w:highlight w:val="none"/>
        </w:rPr>
      </w:pPr>
    </w:p>
    <w:p w14:paraId="50AB7F49">
      <w:pPr>
        <w:snapToGrid w:val="0"/>
        <w:spacing w:before="50" w:after="50" w:line="360" w:lineRule="auto"/>
        <w:rPr>
          <w:rFonts w:ascii="宋体" w:hAnsi="宋体" w:cs="宋体"/>
          <w:color w:val="auto"/>
          <w:sz w:val="28"/>
          <w:szCs w:val="28"/>
          <w:highlight w:val="none"/>
        </w:rPr>
      </w:pPr>
    </w:p>
    <w:p w14:paraId="09233E33">
      <w:pPr>
        <w:snapToGrid w:val="0"/>
        <w:spacing w:before="50" w:after="50" w:line="360" w:lineRule="auto"/>
        <w:rPr>
          <w:rFonts w:ascii="宋体" w:hAnsi="宋体" w:cs="宋体"/>
          <w:color w:val="auto"/>
          <w:sz w:val="28"/>
          <w:szCs w:val="28"/>
          <w:highlight w:val="none"/>
        </w:rPr>
      </w:pPr>
    </w:p>
    <w:p w14:paraId="76DA5151">
      <w:pPr>
        <w:snapToGrid w:val="0"/>
        <w:spacing w:before="50" w:after="50" w:line="360" w:lineRule="auto"/>
        <w:rPr>
          <w:rFonts w:ascii="宋体" w:hAnsi="宋体" w:cs="宋体"/>
          <w:color w:val="auto"/>
          <w:sz w:val="28"/>
          <w:szCs w:val="28"/>
          <w:highlight w:val="none"/>
        </w:rPr>
      </w:pPr>
    </w:p>
    <w:p w14:paraId="79874E90">
      <w:pPr>
        <w:snapToGrid w:val="0"/>
        <w:spacing w:before="50" w:after="50" w:line="360" w:lineRule="auto"/>
        <w:rPr>
          <w:rFonts w:ascii="宋体" w:hAnsi="宋体" w:cs="宋体"/>
          <w:color w:val="auto"/>
          <w:sz w:val="28"/>
          <w:szCs w:val="28"/>
          <w:highlight w:val="none"/>
        </w:rPr>
      </w:pPr>
    </w:p>
    <w:p w14:paraId="5A17A33F">
      <w:pPr>
        <w:snapToGrid w:val="0"/>
        <w:spacing w:before="50" w:after="50" w:line="360" w:lineRule="auto"/>
        <w:rPr>
          <w:rFonts w:ascii="宋体" w:hAnsi="宋体" w:cs="宋体"/>
          <w:color w:val="auto"/>
          <w:sz w:val="28"/>
          <w:szCs w:val="28"/>
          <w:highlight w:val="none"/>
        </w:rPr>
      </w:pPr>
    </w:p>
    <w:p w14:paraId="6B01A66A">
      <w:pPr>
        <w:snapToGrid w:val="0"/>
        <w:spacing w:before="50" w:after="50" w:line="360" w:lineRule="auto"/>
        <w:rPr>
          <w:rFonts w:ascii="宋体" w:hAnsi="宋体" w:cs="宋体"/>
          <w:color w:val="auto"/>
          <w:sz w:val="28"/>
          <w:szCs w:val="28"/>
          <w:highlight w:val="none"/>
        </w:rPr>
      </w:pPr>
    </w:p>
    <w:p w14:paraId="0A37344D">
      <w:pPr>
        <w:snapToGrid w:val="0"/>
        <w:spacing w:before="50" w:after="50" w:line="360" w:lineRule="auto"/>
        <w:rPr>
          <w:rFonts w:ascii="宋体" w:hAnsi="宋体" w:cs="宋体"/>
          <w:color w:val="auto"/>
          <w:sz w:val="28"/>
          <w:szCs w:val="28"/>
          <w:highlight w:val="none"/>
        </w:rPr>
      </w:pPr>
    </w:p>
    <w:p w14:paraId="2F0AB580">
      <w:pPr>
        <w:spacing w:line="360" w:lineRule="auto"/>
        <w:jc w:val="left"/>
        <w:outlineLvl w:val="3"/>
        <w:rPr>
          <w:rFonts w:ascii="宋体" w:hAnsi="宋体"/>
          <w:color w:val="auto"/>
          <w:sz w:val="28"/>
          <w:szCs w:val="32"/>
          <w:highlight w:val="none"/>
        </w:rPr>
      </w:pPr>
      <w:r>
        <w:rPr>
          <w:rFonts w:hint="eastAsia" w:ascii="宋体" w:hAnsi="宋体"/>
          <w:color w:val="auto"/>
          <w:sz w:val="28"/>
          <w:szCs w:val="32"/>
          <w:highlight w:val="none"/>
        </w:rPr>
        <w:t>附件四</w:t>
      </w:r>
    </w:p>
    <w:p w14:paraId="2228428B">
      <w:pPr>
        <w:spacing w:line="360" w:lineRule="auto"/>
        <w:ind w:firstLine="703" w:firstLineChars="250"/>
        <w:jc w:val="center"/>
        <w:outlineLvl w:val="4"/>
        <w:rPr>
          <w:rFonts w:ascii="宋体" w:hAnsi="宋体"/>
          <w:color w:val="auto"/>
          <w:sz w:val="28"/>
          <w:szCs w:val="28"/>
          <w:highlight w:val="none"/>
        </w:rPr>
      </w:pPr>
      <w:r>
        <w:rPr>
          <w:rFonts w:hint="eastAsia" w:ascii="宋体" w:hAnsi="宋体" w:cs="新宋体"/>
          <w:b/>
          <w:color w:val="auto"/>
          <w:kern w:val="0"/>
          <w:sz w:val="28"/>
          <w:szCs w:val="28"/>
          <w:highlight w:val="none"/>
        </w:rPr>
        <w:t>具有履行合同所必需的设备和专业技术能力的承诺函</w:t>
      </w:r>
    </w:p>
    <w:p w14:paraId="48B3965A">
      <w:pPr>
        <w:spacing w:line="360" w:lineRule="auto"/>
        <w:jc w:val="left"/>
        <w:rPr>
          <w:rFonts w:ascii="宋体" w:hAnsi="宋体"/>
          <w:color w:val="auto"/>
          <w:sz w:val="28"/>
          <w:szCs w:val="28"/>
          <w:highlight w:val="none"/>
        </w:rPr>
      </w:pPr>
    </w:p>
    <w:p w14:paraId="08CF1DCD">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温州港乐清湾港务有限公司：</w:t>
      </w:r>
    </w:p>
    <w:p w14:paraId="6B045D76">
      <w:pPr>
        <w:widowControl/>
        <w:adjustRightInd w:val="0"/>
        <w:snapToGrid w:val="0"/>
        <w:spacing w:line="360" w:lineRule="auto"/>
        <w:jc w:val="left"/>
        <w:rPr>
          <w:rFonts w:ascii="宋体" w:hAnsi="宋体" w:cs="宋体"/>
          <w:color w:val="auto"/>
          <w:kern w:val="0"/>
          <w:sz w:val="22"/>
          <w:szCs w:val="22"/>
          <w:highlight w:val="none"/>
        </w:rPr>
      </w:pPr>
    </w:p>
    <w:p w14:paraId="73F1CE6D">
      <w:pPr>
        <w:widowControl/>
        <w:adjustRightInd w:val="0"/>
        <w:snapToGrid w:val="0"/>
        <w:spacing w:line="360" w:lineRule="auto"/>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我方</w:t>
      </w:r>
      <w:r>
        <w:rPr>
          <w:rFonts w:hint="eastAsia" w:ascii="宋体" w:hAnsi="宋体" w:cs="宋体"/>
          <w:color w:val="auto"/>
          <w:kern w:val="0"/>
          <w:sz w:val="22"/>
          <w:szCs w:val="22"/>
          <w:highlight w:val="none"/>
          <w:u w:val="single"/>
        </w:rPr>
        <w:t xml:space="preserve"> （投标人）</w:t>
      </w:r>
      <w:r>
        <w:rPr>
          <w:rFonts w:hint="eastAsia" w:ascii="宋体" w:hAnsi="宋体" w:cs="宋体"/>
          <w:color w:val="auto"/>
          <w:kern w:val="0"/>
          <w:sz w:val="22"/>
          <w:szCs w:val="22"/>
          <w:highlight w:val="none"/>
        </w:rPr>
        <w:t>承诺具有履行本次</w:t>
      </w:r>
      <w:r>
        <w:rPr>
          <w:rFonts w:hint="eastAsia" w:ascii="宋体" w:hAnsi="宋体" w:cs="宋体"/>
          <w:color w:val="auto"/>
          <w:kern w:val="0"/>
          <w:sz w:val="22"/>
          <w:szCs w:val="22"/>
          <w:highlight w:val="none"/>
          <w:u w:val="single"/>
        </w:rPr>
        <w:t xml:space="preserve">  项目名称（编号：    ）</w:t>
      </w:r>
      <w:r>
        <w:rPr>
          <w:rFonts w:hint="eastAsia" w:ascii="宋体" w:hAnsi="宋体" w:cs="宋体"/>
          <w:color w:val="auto"/>
          <w:kern w:val="0"/>
          <w:sz w:val="22"/>
          <w:szCs w:val="22"/>
          <w:highlight w:val="none"/>
        </w:rPr>
        <w:t>采购合同所必需的设备和专业技术能力。如有虚假，招标人可取消我方任何资格（投标/中标/签订合同），我方对此无任何异议。</w:t>
      </w:r>
    </w:p>
    <w:p w14:paraId="23947EB9">
      <w:pPr>
        <w:widowControl/>
        <w:adjustRightInd w:val="0"/>
        <w:snapToGrid w:val="0"/>
        <w:spacing w:line="360" w:lineRule="auto"/>
        <w:ind w:firstLine="440" w:firstLineChars="200"/>
        <w:jc w:val="left"/>
        <w:rPr>
          <w:rFonts w:ascii="宋体" w:hAnsi="宋体" w:cs="宋体"/>
          <w:color w:val="auto"/>
          <w:kern w:val="0"/>
          <w:sz w:val="22"/>
          <w:szCs w:val="22"/>
          <w:highlight w:val="none"/>
        </w:rPr>
      </w:pPr>
    </w:p>
    <w:p w14:paraId="11BFC037">
      <w:pPr>
        <w:widowControl/>
        <w:adjustRightInd w:val="0"/>
        <w:snapToGrid w:val="0"/>
        <w:spacing w:line="360" w:lineRule="auto"/>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特此承诺！</w:t>
      </w:r>
    </w:p>
    <w:p w14:paraId="68B4D691">
      <w:pPr>
        <w:widowControl/>
        <w:adjustRightInd w:val="0"/>
        <w:snapToGrid w:val="0"/>
        <w:spacing w:line="360" w:lineRule="auto"/>
        <w:ind w:firstLine="440" w:firstLineChars="200"/>
        <w:jc w:val="left"/>
        <w:rPr>
          <w:rFonts w:ascii="宋体" w:hAnsi="宋体" w:cs="宋体"/>
          <w:color w:val="auto"/>
          <w:kern w:val="0"/>
          <w:sz w:val="22"/>
          <w:szCs w:val="22"/>
          <w:highlight w:val="none"/>
        </w:rPr>
      </w:pPr>
    </w:p>
    <w:p w14:paraId="49B2FE5F">
      <w:pPr>
        <w:spacing w:line="38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投标人全称（加盖单位公章）： </w:t>
      </w:r>
    </w:p>
    <w:p w14:paraId="6326A477">
      <w:pPr>
        <w:spacing w:line="38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14:paraId="101F3FA0">
      <w:pPr>
        <w:spacing w:line="38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54887947">
      <w:pPr>
        <w:spacing w:line="360" w:lineRule="auto"/>
        <w:jc w:val="left"/>
        <w:rPr>
          <w:rFonts w:ascii="宋体" w:hAnsi="宋体" w:cs="宋体"/>
          <w:color w:val="auto"/>
          <w:sz w:val="22"/>
          <w:szCs w:val="22"/>
          <w:highlight w:val="none"/>
        </w:rPr>
      </w:pPr>
    </w:p>
    <w:p w14:paraId="3759FC7A">
      <w:pPr>
        <w:spacing w:line="360" w:lineRule="auto"/>
        <w:jc w:val="left"/>
        <w:rPr>
          <w:rFonts w:ascii="宋体" w:hAnsi="宋体"/>
          <w:color w:val="auto"/>
          <w:sz w:val="28"/>
          <w:szCs w:val="28"/>
          <w:highlight w:val="none"/>
        </w:rPr>
      </w:pPr>
    </w:p>
    <w:p w14:paraId="224CAEAD">
      <w:pPr>
        <w:spacing w:line="360" w:lineRule="auto"/>
        <w:jc w:val="left"/>
        <w:rPr>
          <w:rFonts w:ascii="宋体" w:hAnsi="宋体"/>
          <w:color w:val="auto"/>
          <w:sz w:val="28"/>
          <w:szCs w:val="28"/>
          <w:highlight w:val="none"/>
        </w:rPr>
      </w:pPr>
    </w:p>
    <w:p w14:paraId="30A8E9B1">
      <w:pPr>
        <w:spacing w:line="360" w:lineRule="auto"/>
        <w:jc w:val="left"/>
        <w:rPr>
          <w:rFonts w:ascii="宋体" w:hAnsi="宋体"/>
          <w:color w:val="auto"/>
          <w:sz w:val="28"/>
          <w:szCs w:val="28"/>
          <w:highlight w:val="none"/>
        </w:rPr>
      </w:pPr>
    </w:p>
    <w:p w14:paraId="36D63506">
      <w:pPr>
        <w:spacing w:line="360" w:lineRule="auto"/>
        <w:jc w:val="left"/>
        <w:rPr>
          <w:rFonts w:ascii="宋体" w:hAnsi="宋体"/>
          <w:color w:val="auto"/>
          <w:sz w:val="28"/>
          <w:szCs w:val="28"/>
          <w:highlight w:val="none"/>
        </w:rPr>
      </w:pPr>
    </w:p>
    <w:p w14:paraId="4EA76214">
      <w:pPr>
        <w:spacing w:line="360" w:lineRule="auto"/>
        <w:jc w:val="left"/>
        <w:rPr>
          <w:rFonts w:ascii="宋体" w:hAnsi="宋体"/>
          <w:color w:val="auto"/>
          <w:sz w:val="28"/>
          <w:szCs w:val="28"/>
          <w:highlight w:val="none"/>
        </w:rPr>
      </w:pPr>
    </w:p>
    <w:p w14:paraId="020C6F76">
      <w:pPr>
        <w:spacing w:line="360" w:lineRule="auto"/>
        <w:jc w:val="left"/>
        <w:rPr>
          <w:rFonts w:ascii="宋体" w:hAnsi="宋体"/>
          <w:color w:val="auto"/>
          <w:sz w:val="28"/>
          <w:szCs w:val="28"/>
          <w:highlight w:val="none"/>
        </w:rPr>
      </w:pPr>
    </w:p>
    <w:p w14:paraId="07D512A7">
      <w:pPr>
        <w:spacing w:line="360" w:lineRule="auto"/>
        <w:jc w:val="left"/>
        <w:rPr>
          <w:rFonts w:ascii="宋体" w:hAnsi="宋体"/>
          <w:color w:val="auto"/>
          <w:sz w:val="28"/>
          <w:szCs w:val="28"/>
          <w:highlight w:val="none"/>
        </w:rPr>
      </w:pPr>
    </w:p>
    <w:p w14:paraId="6AE5153A">
      <w:pPr>
        <w:pStyle w:val="3"/>
        <w:rPr>
          <w:color w:val="auto"/>
          <w:highlight w:val="none"/>
        </w:rPr>
      </w:pPr>
    </w:p>
    <w:p w14:paraId="7B02D95C">
      <w:pPr>
        <w:spacing w:line="360" w:lineRule="auto"/>
        <w:jc w:val="left"/>
        <w:rPr>
          <w:rFonts w:ascii="宋体" w:hAnsi="宋体"/>
          <w:color w:val="auto"/>
          <w:sz w:val="28"/>
          <w:szCs w:val="28"/>
          <w:highlight w:val="none"/>
        </w:rPr>
      </w:pPr>
    </w:p>
    <w:p w14:paraId="6CAA8258">
      <w:pPr>
        <w:spacing w:line="360" w:lineRule="auto"/>
        <w:jc w:val="left"/>
        <w:rPr>
          <w:rFonts w:ascii="宋体" w:hAnsi="宋体"/>
          <w:color w:val="auto"/>
          <w:sz w:val="28"/>
          <w:szCs w:val="28"/>
          <w:highlight w:val="none"/>
        </w:rPr>
      </w:pPr>
    </w:p>
    <w:p w14:paraId="34F230F6">
      <w:pPr>
        <w:spacing w:line="360" w:lineRule="auto"/>
        <w:jc w:val="left"/>
        <w:rPr>
          <w:rFonts w:ascii="宋体" w:hAnsi="宋体"/>
          <w:color w:val="auto"/>
          <w:sz w:val="28"/>
          <w:szCs w:val="28"/>
          <w:highlight w:val="none"/>
        </w:rPr>
      </w:pPr>
    </w:p>
    <w:p w14:paraId="0752DAB9">
      <w:pPr>
        <w:spacing w:line="360" w:lineRule="auto"/>
        <w:jc w:val="left"/>
        <w:outlineLvl w:val="3"/>
        <w:rPr>
          <w:rFonts w:ascii="宋体" w:hAnsi="宋体"/>
          <w:color w:val="auto"/>
          <w:sz w:val="28"/>
          <w:szCs w:val="32"/>
          <w:highlight w:val="none"/>
        </w:rPr>
      </w:pPr>
      <w:r>
        <w:rPr>
          <w:rFonts w:hint="eastAsia" w:ascii="宋体" w:hAnsi="宋体"/>
          <w:color w:val="auto"/>
          <w:sz w:val="28"/>
          <w:szCs w:val="32"/>
          <w:highlight w:val="none"/>
        </w:rPr>
        <w:t>附件五</w:t>
      </w:r>
    </w:p>
    <w:p w14:paraId="710B6FE3">
      <w:pPr>
        <w:tabs>
          <w:tab w:val="left" w:pos="0"/>
          <w:tab w:val="left" w:pos="600"/>
          <w:tab w:val="left" w:pos="780"/>
        </w:tabs>
        <w:spacing w:line="400" w:lineRule="exact"/>
        <w:jc w:val="center"/>
        <w:outlineLvl w:val="4"/>
        <w:rPr>
          <w:rFonts w:ascii="宋体" w:hAnsi="宋体"/>
          <w:b/>
          <w:color w:val="auto"/>
          <w:sz w:val="28"/>
          <w:szCs w:val="28"/>
          <w:highlight w:val="none"/>
        </w:rPr>
      </w:pPr>
      <w:r>
        <w:rPr>
          <w:rFonts w:hint="eastAsia" w:ascii="宋体" w:hAnsi="宋体"/>
          <w:b/>
          <w:color w:val="auto"/>
          <w:sz w:val="28"/>
          <w:szCs w:val="28"/>
          <w:highlight w:val="none"/>
        </w:rPr>
        <w:t>具有良好的信誉和健全的财务会计制度的承诺函</w:t>
      </w:r>
    </w:p>
    <w:p w14:paraId="205BC9C1">
      <w:pPr>
        <w:widowControl/>
        <w:adjustRightInd w:val="0"/>
        <w:snapToGrid w:val="0"/>
        <w:spacing w:line="440" w:lineRule="exact"/>
        <w:jc w:val="left"/>
        <w:rPr>
          <w:rFonts w:ascii="宋体" w:hAnsi="宋体" w:cs="Arial"/>
          <w:color w:val="auto"/>
          <w:kern w:val="0"/>
          <w:sz w:val="22"/>
          <w:szCs w:val="22"/>
          <w:highlight w:val="none"/>
          <w:u w:val="single"/>
        </w:rPr>
      </w:pPr>
    </w:p>
    <w:p w14:paraId="27CA491A">
      <w:pPr>
        <w:widowControl/>
        <w:adjustRightInd w:val="0"/>
        <w:snapToGrid w:val="0"/>
        <w:spacing w:line="440" w:lineRule="exact"/>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u w:val="single"/>
        </w:rPr>
        <w:t>温州港乐清湾港务有限公司：</w:t>
      </w:r>
      <w:r>
        <w:rPr>
          <w:rFonts w:hint="eastAsia" w:ascii="宋体" w:hAnsi="宋体" w:cs="Arial"/>
          <w:color w:val="auto"/>
          <w:kern w:val="0"/>
          <w:sz w:val="22"/>
          <w:szCs w:val="22"/>
          <w:highlight w:val="none"/>
        </w:rPr>
        <w:t xml:space="preserve"> </w:t>
      </w:r>
    </w:p>
    <w:p w14:paraId="1C30F94D">
      <w:pPr>
        <w:widowControl/>
        <w:adjustRightInd w:val="0"/>
        <w:snapToGrid w:val="0"/>
        <w:spacing w:line="440" w:lineRule="exact"/>
        <w:ind w:firstLine="440" w:firstLineChars="2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我方</w:t>
      </w:r>
      <w:r>
        <w:rPr>
          <w:rFonts w:hint="eastAsia" w:ascii="宋体" w:hAnsi="宋体" w:cs="Arial"/>
          <w:color w:val="auto"/>
          <w:kern w:val="0"/>
          <w:sz w:val="22"/>
          <w:szCs w:val="22"/>
          <w:highlight w:val="none"/>
          <w:u w:val="single"/>
        </w:rPr>
        <w:t xml:space="preserve"> （投标人全称）</w:t>
      </w:r>
      <w:r>
        <w:rPr>
          <w:rFonts w:hint="eastAsia" w:ascii="宋体" w:hAnsi="宋体" w:cs="Arial"/>
          <w:color w:val="auto"/>
          <w:kern w:val="0"/>
          <w:sz w:val="22"/>
          <w:szCs w:val="22"/>
          <w:highlight w:val="none"/>
        </w:rPr>
        <w:t>具有良好的商业信誉</w:t>
      </w:r>
      <w:r>
        <w:rPr>
          <w:rFonts w:hint="eastAsia" w:ascii="宋体" w:hAnsi="宋体"/>
          <w:color w:val="auto"/>
          <w:sz w:val="22"/>
          <w:szCs w:val="22"/>
          <w:highlight w:val="none"/>
        </w:rPr>
        <w:t>和健全的财务会计制度</w:t>
      </w:r>
      <w:r>
        <w:rPr>
          <w:rFonts w:hint="eastAsia" w:ascii="宋体" w:hAnsi="宋体" w:cs="Arial"/>
          <w:color w:val="auto"/>
          <w:kern w:val="0"/>
          <w:sz w:val="22"/>
          <w:szCs w:val="22"/>
          <w:highlight w:val="none"/>
        </w:rPr>
        <w:t>，依法缴纳税收和社会保障资金，未被列入失信被执行人名单、重大税收违法案件当事人名单、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招标人可取消我方任何资格（投标/中标/签订合同），我方对此无任何异议。</w:t>
      </w:r>
    </w:p>
    <w:p w14:paraId="1BE2068D">
      <w:pPr>
        <w:widowControl/>
        <w:adjustRightInd w:val="0"/>
        <w:snapToGrid w:val="0"/>
        <w:spacing w:line="440" w:lineRule="exact"/>
        <w:ind w:firstLine="440" w:firstLineChars="200"/>
        <w:jc w:val="left"/>
        <w:rPr>
          <w:rFonts w:ascii="宋体" w:hAnsi="宋体" w:cs="Arial"/>
          <w:color w:val="auto"/>
          <w:kern w:val="0"/>
          <w:sz w:val="22"/>
          <w:szCs w:val="22"/>
          <w:highlight w:val="none"/>
        </w:rPr>
      </w:pPr>
    </w:p>
    <w:p w14:paraId="479E5ABC">
      <w:pPr>
        <w:widowControl/>
        <w:adjustRightInd w:val="0"/>
        <w:snapToGrid w:val="0"/>
        <w:spacing w:line="440" w:lineRule="exact"/>
        <w:ind w:firstLine="440" w:firstLineChars="2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特此承诺！</w:t>
      </w:r>
    </w:p>
    <w:p w14:paraId="605C58E9">
      <w:pPr>
        <w:widowControl/>
        <w:adjustRightInd w:val="0"/>
        <w:snapToGrid w:val="0"/>
        <w:spacing w:line="440" w:lineRule="exact"/>
        <w:ind w:firstLine="440" w:firstLineChars="200"/>
        <w:jc w:val="left"/>
        <w:rPr>
          <w:rFonts w:ascii="宋体" w:hAnsi="宋体" w:cs="Arial"/>
          <w:color w:val="auto"/>
          <w:kern w:val="0"/>
          <w:sz w:val="22"/>
          <w:szCs w:val="22"/>
          <w:highlight w:val="none"/>
        </w:rPr>
      </w:pPr>
    </w:p>
    <w:p w14:paraId="526A4595">
      <w:pPr>
        <w:spacing w:line="38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投标人全称（盖章）：</w:t>
      </w:r>
    </w:p>
    <w:p w14:paraId="0CD088FB">
      <w:pPr>
        <w:spacing w:line="38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法定代表人或授权代表（签字或盖章）：</w:t>
      </w:r>
    </w:p>
    <w:p w14:paraId="5E267ED0">
      <w:pPr>
        <w:spacing w:line="380" w:lineRule="exact"/>
        <w:ind w:firstLine="440" w:firstLineChars="200"/>
        <w:rPr>
          <w:rFonts w:ascii="宋体" w:hAnsi="宋体" w:cs="Arial"/>
          <w:b/>
          <w:bCs/>
          <w:color w:val="auto"/>
          <w:sz w:val="22"/>
          <w:szCs w:val="22"/>
          <w:highlight w:val="none"/>
        </w:rPr>
      </w:pPr>
      <w:r>
        <w:rPr>
          <w:rFonts w:hint="eastAsia" w:ascii="宋体" w:hAnsi="宋体"/>
          <w:color w:val="auto"/>
          <w:sz w:val="22"/>
          <w:szCs w:val="22"/>
          <w:highlight w:val="none"/>
        </w:rPr>
        <w:t>日 期：  年  月  日</w:t>
      </w:r>
      <w:r>
        <w:rPr>
          <w:rFonts w:hint="eastAsia" w:ascii="宋体" w:hAnsi="宋体" w:cs="Arial"/>
          <w:b/>
          <w:bCs/>
          <w:color w:val="auto"/>
          <w:sz w:val="22"/>
          <w:szCs w:val="22"/>
          <w:highlight w:val="none"/>
        </w:rPr>
        <w:t xml:space="preserve"> </w:t>
      </w:r>
    </w:p>
    <w:p w14:paraId="2E70123C">
      <w:pPr>
        <w:spacing w:line="360" w:lineRule="auto"/>
        <w:jc w:val="left"/>
        <w:rPr>
          <w:rFonts w:ascii="宋体" w:hAnsi="宋体"/>
          <w:color w:val="auto"/>
          <w:sz w:val="22"/>
          <w:szCs w:val="22"/>
          <w:highlight w:val="none"/>
        </w:rPr>
      </w:pPr>
    </w:p>
    <w:p w14:paraId="0E84C5DC">
      <w:pPr>
        <w:tabs>
          <w:tab w:val="left" w:pos="2830"/>
        </w:tabs>
        <w:snapToGrid w:val="0"/>
        <w:spacing w:before="50" w:after="50" w:line="360" w:lineRule="auto"/>
        <w:rPr>
          <w:rFonts w:ascii="宋体" w:hAnsi="宋体" w:cs="宋体"/>
          <w:color w:val="auto"/>
          <w:sz w:val="28"/>
          <w:szCs w:val="28"/>
          <w:highlight w:val="none"/>
        </w:rPr>
      </w:pPr>
    </w:p>
    <w:p w14:paraId="0E9F1712">
      <w:pPr>
        <w:tabs>
          <w:tab w:val="left" w:pos="2830"/>
        </w:tabs>
        <w:snapToGrid w:val="0"/>
        <w:spacing w:before="50" w:after="50" w:line="360" w:lineRule="auto"/>
        <w:rPr>
          <w:rFonts w:ascii="宋体" w:hAnsi="宋体" w:cs="宋体"/>
          <w:color w:val="auto"/>
          <w:sz w:val="28"/>
          <w:szCs w:val="28"/>
          <w:highlight w:val="none"/>
        </w:rPr>
      </w:pPr>
    </w:p>
    <w:p w14:paraId="48E8C019">
      <w:pPr>
        <w:tabs>
          <w:tab w:val="left" w:pos="2830"/>
        </w:tabs>
        <w:snapToGrid w:val="0"/>
        <w:spacing w:before="50" w:after="50" w:line="360" w:lineRule="auto"/>
        <w:rPr>
          <w:rFonts w:ascii="宋体" w:hAnsi="宋体" w:cs="宋体"/>
          <w:color w:val="auto"/>
          <w:sz w:val="28"/>
          <w:szCs w:val="28"/>
          <w:highlight w:val="none"/>
        </w:rPr>
      </w:pPr>
    </w:p>
    <w:p w14:paraId="5FBCBF9C">
      <w:pPr>
        <w:tabs>
          <w:tab w:val="left" w:pos="2830"/>
        </w:tabs>
        <w:snapToGrid w:val="0"/>
        <w:spacing w:before="50" w:after="50" w:line="360" w:lineRule="auto"/>
        <w:rPr>
          <w:rFonts w:ascii="宋体" w:hAnsi="宋体" w:cs="宋体"/>
          <w:color w:val="auto"/>
          <w:sz w:val="28"/>
          <w:szCs w:val="28"/>
          <w:highlight w:val="none"/>
        </w:rPr>
      </w:pPr>
    </w:p>
    <w:p w14:paraId="719B15EB">
      <w:pPr>
        <w:tabs>
          <w:tab w:val="left" w:pos="2830"/>
        </w:tabs>
        <w:snapToGrid w:val="0"/>
        <w:spacing w:before="50" w:after="50" w:line="360" w:lineRule="auto"/>
        <w:rPr>
          <w:rFonts w:ascii="宋体" w:hAnsi="宋体" w:cs="宋体"/>
          <w:color w:val="auto"/>
          <w:sz w:val="28"/>
          <w:szCs w:val="28"/>
          <w:highlight w:val="none"/>
        </w:rPr>
      </w:pPr>
    </w:p>
    <w:p w14:paraId="68907848">
      <w:pPr>
        <w:tabs>
          <w:tab w:val="left" w:pos="2830"/>
        </w:tabs>
        <w:snapToGrid w:val="0"/>
        <w:spacing w:before="50" w:after="50" w:line="360" w:lineRule="auto"/>
        <w:rPr>
          <w:rFonts w:ascii="宋体" w:hAnsi="宋体" w:cs="宋体"/>
          <w:color w:val="auto"/>
          <w:sz w:val="28"/>
          <w:szCs w:val="28"/>
          <w:highlight w:val="none"/>
        </w:rPr>
      </w:pPr>
    </w:p>
    <w:p w14:paraId="646702FB">
      <w:pPr>
        <w:tabs>
          <w:tab w:val="left" w:pos="2830"/>
        </w:tabs>
        <w:snapToGrid w:val="0"/>
        <w:spacing w:before="50" w:after="50" w:line="360" w:lineRule="auto"/>
        <w:rPr>
          <w:rFonts w:ascii="宋体" w:hAnsi="宋体" w:cs="宋体"/>
          <w:color w:val="auto"/>
          <w:sz w:val="28"/>
          <w:szCs w:val="28"/>
          <w:highlight w:val="none"/>
        </w:rPr>
      </w:pPr>
    </w:p>
    <w:p w14:paraId="6204A5EB">
      <w:pPr>
        <w:tabs>
          <w:tab w:val="left" w:pos="2830"/>
        </w:tabs>
        <w:snapToGrid w:val="0"/>
        <w:spacing w:before="50" w:after="50" w:line="360" w:lineRule="auto"/>
        <w:rPr>
          <w:rFonts w:ascii="宋体" w:hAnsi="宋体" w:cs="宋体"/>
          <w:color w:val="auto"/>
          <w:sz w:val="28"/>
          <w:szCs w:val="28"/>
          <w:highlight w:val="none"/>
        </w:rPr>
      </w:pPr>
    </w:p>
    <w:p w14:paraId="0957FBA0">
      <w:pPr>
        <w:tabs>
          <w:tab w:val="left" w:pos="2830"/>
        </w:tabs>
        <w:snapToGrid w:val="0"/>
        <w:spacing w:before="50" w:after="50" w:line="360" w:lineRule="auto"/>
        <w:rPr>
          <w:rFonts w:ascii="宋体" w:hAnsi="宋体" w:cs="宋体"/>
          <w:color w:val="auto"/>
          <w:sz w:val="28"/>
          <w:szCs w:val="28"/>
          <w:highlight w:val="none"/>
        </w:rPr>
      </w:pPr>
    </w:p>
    <w:p w14:paraId="46B8ADDA">
      <w:pPr>
        <w:spacing w:line="360" w:lineRule="auto"/>
        <w:jc w:val="left"/>
        <w:rPr>
          <w:rFonts w:ascii="宋体" w:hAnsi="宋体"/>
          <w:color w:val="auto"/>
          <w:sz w:val="28"/>
          <w:szCs w:val="28"/>
          <w:highlight w:val="none"/>
        </w:rPr>
      </w:pPr>
    </w:p>
    <w:p w14:paraId="08E46BD1">
      <w:pPr>
        <w:widowControl/>
        <w:jc w:val="left"/>
        <w:rPr>
          <w:rFonts w:ascii="宋体" w:hAnsi="宋体"/>
          <w:color w:val="auto"/>
          <w:sz w:val="24"/>
          <w:szCs w:val="28"/>
          <w:highlight w:val="none"/>
        </w:rPr>
      </w:pPr>
    </w:p>
    <w:p w14:paraId="0D0C7151">
      <w:pPr>
        <w:widowControl/>
        <w:jc w:val="left"/>
        <w:rPr>
          <w:rFonts w:ascii="宋体" w:hAnsi="宋体"/>
          <w:color w:val="auto"/>
          <w:sz w:val="24"/>
          <w:szCs w:val="28"/>
          <w:highlight w:val="none"/>
        </w:rPr>
      </w:pPr>
    </w:p>
    <w:p w14:paraId="59CA73C6">
      <w:pPr>
        <w:spacing w:line="360" w:lineRule="auto"/>
        <w:jc w:val="left"/>
        <w:outlineLvl w:val="3"/>
        <w:rPr>
          <w:rFonts w:ascii="宋体" w:hAnsi="宋体"/>
          <w:color w:val="auto"/>
          <w:sz w:val="28"/>
          <w:szCs w:val="32"/>
          <w:highlight w:val="none"/>
        </w:rPr>
      </w:pPr>
      <w:r>
        <w:rPr>
          <w:rFonts w:hint="eastAsia" w:ascii="宋体" w:hAnsi="宋体"/>
          <w:color w:val="auto"/>
          <w:sz w:val="28"/>
          <w:szCs w:val="32"/>
          <w:highlight w:val="none"/>
        </w:rPr>
        <w:t>附件六</w:t>
      </w:r>
    </w:p>
    <w:p w14:paraId="72D3AF03">
      <w:pPr>
        <w:tabs>
          <w:tab w:val="left" w:pos="482"/>
          <w:tab w:val="left" w:pos="2183"/>
          <w:tab w:val="left" w:pos="3884"/>
          <w:tab w:val="left" w:pos="5585"/>
        </w:tabs>
        <w:autoSpaceDE w:val="0"/>
        <w:autoSpaceDN w:val="0"/>
        <w:jc w:val="center"/>
        <w:rPr>
          <w:rFonts w:cs="宋体"/>
          <w:color w:val="auto"/>
          <w:sz w:val="36"/>
          <w:szCs w:val="36"/>
          <w:highlight w:val="none"/>
        </w:rPr>
      </w:pPr>
      <w:r>
        <w:rPr>
          <w:rFonts w:hint="eastAsia" w:cs="宋体"/>
          <w:b/>
          <w:bCs/>
          <w:color w:val="auto"/>
          <w:sz w:val="28"/>
          <w:szCs w:val="28"/>
          <w:highlight w:val="none"/>
        </w:rPr>
        <w:t>未被列入失信被执行人名单、重大税收违法案件当事人名单、未被列入安全生产严重失信主体名单的承诺函</w:t>
      </w:r>
    </w:p>
    <w:p w14:paraId="578AB037">
      <w:pPr>
        <w:spacing w:line="440" w:lineRule="exact"/>
        <w:rPr>
          <w:rFonts w:ascii="宋体" w:hAnsi="宋体" w:cs="宋体"/>
          <w:color w:val="auto"/>
          <w:sz w:val="22"/>
          <w:szCs w:val="22"/>
          <w:highlight w:val="none"/>
        </w:rPr>
      </w:pPr>
      <w:r>
        <w:rPr>
          <w:rFonts w:hint="eastAsia" w:ascii="宋体" w:hAnsi="宋体" w:cs="Arial"/>
          <w:color w:val="auto"/>
          <w:kern w:val="0"/>
          <w:sz w:val="22"/>
          <w:szCs w:val="22"/>
          <w:highlight w:val="none"/>
          <w:u w:val="single"/>
        </w:rPr>
        <w:t>温州港乐清湾港务有限公司：</w:t>
      </w:r>
    </w:p>
    <w:p w14:paraId="2D5BC413">
      <w:pPr>
        <w:wordWrap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我方</w:t>
      </w:r>
      <w:r>
        <w:rPr>
          <w:rFonts w:hint="eastAsia" w:ascii="宋体" w:hAnsi="宋体" w:cs="宋体"/>
          <w:color w:val="auto"/>
          <w:sz w:val="22"/>
          <w:szCs w:val="22"/>
          <w:highlight w:val="none"/>
          <w:u w:val="single"/>
        </w:rPr>
        <w:t xml:space="preserve">            （投标人名称）</w:t>
      </w:r>
      <w:r>
        <w:rPr>
          <w:rFonts w:hint="eastAsia" w:ascii="宋体" w:hAnsi="宋体" w:cs="宋体"/>
          <w:color w:val="auto"/>
          <w:sz w:val="22"/>
          <w:szCs w:val="22"/>
          <w:highlight w:val="none"/>
        </w:rPr>
        <w:t>具有良好的商业信誉，依法缴纳税收和社会保障资金，未被列入失信被执行人名单、重大税收违法案件当事人名单、严重违法失信行为记录名单【具体以“信用中国”网站（www.creditchina.gov.cn）查询为准】。</w:t>
      </w:r>
    </w:p>
    <w:p w14:paraId="382F77C1">
      <w:pPr>
        <w:wordWrap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我方承诺采购人或采购代理人开评标时现场查询，如有发现虚假承诺，采购人可取消我方任何资格（投标/中标/签订合同），我方对此无任何异议。</w:t>
      </w:r>
    </w:p>
    <w:p w14:paraId="78AD84CF">
      <w:pPr>
        <w:spacing w:line="440" w:lineRule="exact"/>
        <w:rPr>
          <w:rFonts w:ascii="宋体" w:hAnsi="宋体" w:cs="宋体"/>
          <w:color w:val="auto"/>
          <w:sz w:val="22"/>
          <w:szCs w:val="22"/>
          <w:highlight w:val="none"/>
        </w:rPr>
      </w:pPr>
    </w:p>
    <w:p w14:paraId="1228B6D6">
      <w:pPr>
        <w:snapToGrid w:val="0"/>
        <w:spacing w:line="440" w:lineRule="exact"/>
        <w:jc w:val="left"/>
        <w:rPr>
          <w:rFonts w:ascii="宋体" w:hAnsi="宋体" w:cs="宋体"/>
          <w:b/>
          <w:color w:val="auto"/>
          <w:sz w:val="22"/>
          <w:szCs w:val="22"/>
          <w:highlight w:val="none"/>
        </w:rPr>
      </w:pPr>
    </w:p>
    <w:p w14:paraId="448B8395">
      <w:pPr>
        <w:spacing w:line="440" w:lineRule="exact"/>
        <w:rPr>
          <w:rFonts w:ascii="宋体" w:hAnsi="宋体" w:cs="宋体"/>
          <w:color w:val="auto"/>
          <w:sz w:val="22"/>
          <w:szCs w:val="22"/>
          <w:highlight w:val="none"/>
        </w:rPr>
      </w:pPr>
    </w:p>
    <w:p w14:paraId="695D584F">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投标供应商全称（盖章）：</w:t>
      </w:r>
    </w:p>
    <w:p w14:paraId="05136962">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法定代表人或其委托代理人（签字或盖章）：</w:t>
      </w:r>
    </w:p>
    <w:p w14:paraId="109DB4DC">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2F2932EB">
      <w:pPr>
        <w:pStyle w:val="2"/>
        <w:spacing w:after="0" w:line="440" w:lineRule="exact"/>
        <w:ind w:firstLine="220"/>
        <w:rPr>
          <w:rFonts w:ascii="宋体" w:hAnsi="宋体" w:cs="宋体"/>
          <w:color w:val="auto"/>
          <w:sz w:val="22"/>
          <w:szCs w:val="22"/>
          <w:highlight w:val="none"/>
        </w:rPr>
      </w:pPr>
    </w:p>
    <w:p w14:paraId="3A1D4F5D">
      <w:pPr>
        <w:pStyle w:val="2"/>
        <w:spacing w:after="0" w:line="440" w:lineRule="exact"/>
        <w:ind w:firstLine="220"/>
        <w:rPr>
          <w:rFonts w:ascii="宋体" w:hAnsi="宋体" w:cs="宋体"/>
          <w:color w:val="auto"/>
          <w:sz w:val="22"/>
          <w:szCs w:val="22"/>
          <w:highlight w:val="none"/>
        </w:rPr>
      </w:pPr>
    </w:p>
    <w:p w14:paraId="2260C88A">
      <w:pPr>
        <w:pStyle w:val="2"/>
        <w:spacing w:after="0" w:line="440" w:lineRule="exact"/>
        <w:ind w:firstLine="220"/>
        <w:rPr>
          <w:rFonts w:ascii="宋体" w:hAnsi="宋体" w:cs="宋体"/>
          <w:color w:val="auto"/>
          <w:sz w:val="22"/>
          <w:szCs w:val="22"/>
          <w:highlight w:val="none"/>
        </w:rPr>
      </w:pPr>
    </w:p>
    <w:p w14:paraId="2054B017">
      <w:pPr>
        <w:pStyle w:val="2"/>
        <w:spacing w:after="0" w:line="440" w:lineRule="exact"/>
        <w:ind w:firstLine="220"/>
        <w:rPr>
          <w:rFonts w:ascii="宋体" w:hAnsi="宋体" w:cs="宋体"/>
          <w:color w:val="auto"/>
          <w:sz w:val="22"/>
          <w:szCs w:val="22"/>
          <w:highlight w:val="none"/>
        </w:rPr>
      </w:pPr>
    </w:p>
    <w:p w14:paraId="3090A9C9">
      <w:pPr>
        <w:pStyle w:val="2"/>
        <w:spacing w:after="0" w:line="440" w:lineRule="exact"/>
        <w:ind w:firstLine="220"/>
        <w:rPr>
          <w:rFonts w:ascii="宋体" w:hAnsi="宋体" w:cs="宋体"/>
          <w:color w:val="auto"/>
          <w:sz w:val="22"/>
          <w:szCs w:val="22"/>
          <w:highlight w:val="none"/>
          <w:u w:val="single"/>
        </w:rPr>
      </w:pPr>
    </w:p>
    <w:p w14:paraId="0483330B">
      <w:pPr>
        <w:jc w:val="left"/>
        <w:rPr>
          <w:rFonts w:ascii="宋体" w:hAnsi="宋体"/>
          <w:color w:val="auto"/>
          <w:sz w:val="24"/>
          <w:szCs w:val="28"/>
          <w:highlight w:val="none"/>
        </w:rPr>
      </w:pPr>
      <w:r>
        <w:rPr>
          <w:rFonts w:hint="eastAsia" w:ascii="宋体" w:hAnsi="宋体"/>
          <w:color w:val="auto"/>
          <w:sz w:val="24"/>
          <w:szCs w:val="28"/>
          <w:highlight w:val="none"/>
        </w:rPr>
        <w:br w:type="page"/>
      </w:r>
    </w:p>
    <w:p w14:paraId="200BA586">
      <w:pPr>
        <w:spacing w:line="360" w:lineRule="auto"/>
        <w:jc w:val="left"/>
        <w:outlineLvl w:val="3"/>
        <w:rPr>
          <w:rFonts w:hint="eastAsia" w:ascii="宋体" w:hAnsi="宋体"/>
          <w:color w:val="auto"/>
          <w:sz w:val="28"/>
          <w:szCs w:val="32"/>
          <w:highlight w:val="none"/>
          <w:lang w:val="en-US" w:eastAsia="zh-CN"/>
        </w:rPr>
      </w:pPr>
      <w:r>
        <w:rPr>
          <w:rFonts w:hint="eastAsia" w:ascii="宋体" w:hAnsi="宋体"/>
          <w:color w:val="auto"/>
          <w:sz w:val="28"/>
          <w:szCs w:val="32"/>
          <w:highlight w:val="none"/>
        </w:rPr>
        <w:t>附件七</w:t>
      </w:r>
    </w:p>
    <w:p w14:paraId="4F580C09">
      <w:pPr>
        <w:spacing w:line="360" w:lineRule="auto"/>
        <w:jc w:val="left"/>
        <w:outlineLvl w:val="3"/>
        <w:rPr>
          <w:rFonts w:hint="eastAsia" w:ascii="宋体" w:hAnsi="宋体"/>
          <w:color w:val="auto"/>
          <w:sz w:val="28"/>
          <w:szCs w:val="32"/>
          <w:highlight w:val="none"/>
          <w:lang w:val="en-US" w:eastAsia="zh-CN"/>
        </w:rPr>
      </w:pPr>
      <w:r>
        <w:rPr>
          <w:rFonts w:hint="eastAsia" w:ascii="宋体" w:hAnsi="宋体" w:cs="宋体"/>
          <w:bCs/>
          <w:color w:val="auto"/>
          <w:sz w:val="22"/>
          <w:szCs w:val="22"/>
          <w:highlight w:val="none"/>
        </w:rPr>
        <w:t>投标人须在中华人民共和国生态环境部“环境影响评价信用平台”登记，且投标截止日前，在平台中未被列为“限期整改名单”或“黑名单”。（须提供平台查询截图并加盖公章）</w:t>
      </w:r>
    </w:p>
    <w:p w14:paraId="7D72AA77">
      <w:pPr>
        <w:spacing w:line="240" w:lineRule="auto"/>
        <w:jc w:val="left"/>
        <w:outlineLvl w:val="9"/>
        <w:rPr>
          <w:rFonts w:hint="eastAsia" w:ascii="宋体" w:hAnsi="宋体"/>
          <w:color w:val="auto"/>
          <w:sz w:val="28"/>
          <w:szCs w:val="32"/>
          <w:highlight w:val="none"/>
          <w:lang w:val="en-US" w:eastAsia="zh-CN"/>
        </w:rPr>
      </w:pPr>
      <w:r>
        <w:rPr>
          <w:rFonts w:hint="eastAsia" w:ascii="宋体" w:hAnsi="宋体"/>
          <w:color w:val="auto"/>
          <w:sz w:val="28"/>
          <w:szCs w:val="32"/>
          <w:highlight w:val="none"/>
          <w:lang w:val="en-US" w:eastAsia="zh-CN"/>
        </w:rPr>
        <w:br w:type="page"/>
      </w:r>
    </w:p>
    <w:p w14:paraId="6F8B6E04">
      <w:pPr>
        <w:rPr>
          <w:rFonts w:ascii="宋体" w:hAnsi="宋体"/>
          <w:color w:val="auto"/>
          <w:sz w:val="22"/>
          <w:szCs w:val="22"/>
          <w:highlight w:val="none"/>
        </w:rPr>
      </w:pPr>
      <w:r>
        <w:rPr>
          <w:rFonts w:hint="eastAsia" w:ascii="宋体" w:hAnsi="宋体"/>
          <w:color w:val="auto"/>
          <w:sz w:val="22"/>
          <w:szCs w:val="22"/>
          <w:highlight w:val="none"/>
        </w:rPr>
        <w:br w:type="page"/>
      </w:r>
    </w:p>
    <w:p w14:paraId="4A21DA42">
      <w:pPr>
        <w:rPr>
          <w:rFonts w:ascii="宋体" w:hAnsi="宋体"/>
          <w:color w:val="auto"/>
          <w:sz w:val="22"/>
          <w:szCs w:val="22"/>
          <w:highlight w:val="none"/>
        </w:rPr>
      </w:pPr>
      <w:r>
        <w:rPr>
          <w:rFonts w:hint="eastAsia" w:ascii="宋体" w:hAnsi="宋体"/>
          <w:color w:val="auto"/>
          <w:sz w:val="22"/>
          <w:szCs w:val="22"/>
          <w:highlight w:val="none"/>
        </w:rPr>
        <w:t>（商务技术标封面，供参考）</w:t>
      </w:r>
    </w:p>
    <w:p w14:paraId="7FA98139">
      <w:pPr>
        <w:spacing w:before="156" w:beforeLines="50" w:after="156" w:afterLines="50"/>
        <w:rPr>
          <w:rFonts w:ascii="宋体" w:hAnsi="宋体"/>
          <w:color w:val="auto"/>
          <w:sz w:val="22"/>
          <w:szCs w:val="22"/>
          <w:highlight w:val="none"/>
        </w:rPr>
      </w:pPr>
    </w:p>
    <w:p w14:paraId="61335AF7">
      <w:pPr>
        <w:rPr>
          <w:rFonts w:ascii="宋体" w:hAnsi="宋体" w:cs="新宋体"/>
          <w:color w:val="auto"/>
          <w:highlight w:val="none"/>
        </w:rPr>
      </w:pPr>
    </w:p>
    <w:p w14:paraId="2A66E469">
      <w:pPr>
        <w:rPr>
          <w:rFonts w:ascii="宋体" w:hAnsi="宋体" w:cs="新宋体"/>
          <w:color w:val="auto"/>
          <w:highlight w:val="none"/>
        </w:rPr>
      </w:pPr>
    </w:p>
    <w:p w14:paraId="4A34D3F0">
      <w:pPr>
        <w:rPr>
          <w:rFonts w:ascii="宋体" w:hAnsi="宋体" w:cs="新宋体"/>
          <w:color w:val="auto"/>
          <w:highlight w:val="none"/>
        </w:rPr>
      </w:pPr>
    </w:p>
    <w:p w14:paraId="02808A41">
      <w:pPr>
        <w:jc w:val="center"/>
        <w:rPr>
          <w:rFonts w:ascii="宋体" w:hAnsi="宋体" w:cs="新宋体"/>
          <w:color w:val="auto"/>
          <w:sz w:val="28"/>
          <w:szCs w:val="28"/>
          <w:highlight w:val="none"/>
        </w:rPr>
      </w:pP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（项目名称）投标文件</w:t>
      </w:r>
    </w:p>
    <w:p w14:paraId="50D2D567">
      <w:pPr>
        <w:rPr>
          <w:rFonts w:ascii="宋体" w:hAnsi="宋体" w:cs="新宋体"/>
          <w:color w:val="auto"/>
          <w:sz w:val="28"/>
          <w:szCs w:val="28"/>
          <w:highlight w:val="none"/>
        </w:rPr>
      </w:pPr>
    </w:p>
    <w:p w14:paraId="5A77CA6D">
      <w:pPr>
        <w:rPr>
          <w:rFonts w:ascii="宋体" w:hAnsi="宋体" w:cs="新宋体"/>
          <w:color w:val="auto"/>
          <w:sz w:val="28"/>
          <w:szCs w:val="28"/>
          <w:highlight w:val="none"/>
        </w:rPr>
      </w:pPr>
    </w:p>
    <w:p w14:paraId="6B3D9CCE">
      <w:pPr>
        <w:pStyle w:val="2"/>
        <w:ind w:firstLine="280"/>
        <w:rPr>
          <w:rFonts w:ascii="宋体" w:hAnsi="宋体" w:cs="新宋体"/>
          <w:color w:val="auto"/>
          <w:sz w:val="28"/>
          <w:szCs w:val="28"/>
          <w:highlight w:val="none"/>
        </w:rPr>
      </w:pPr>
    </w:p>
    <w:p w14:paraId="039E7FB8">
      <w:pPr>
        <w:pStyle w:val="2"/>
        <w:ind w:firstLine="280"/>
        <w:rPr>
          <w:rFonts w:ascii="宋体" w:hAnsi="宋体" w:cs="新宋体"/>
          <w:color w:val="auto"/>
          <w:sz w:val="28"/>
          <w:szCs w:val="28"/>
          <w:highlight w:val="none"/>
        </w:rPr>
      </w:pPr>
    </w:p>
    <w:p w14:paraId="29ACED7B">
      <w:pPr>
        <w:rPr>
          <w:rFonts w:ascii="宋体" w:hAnsi="宋体" w:cs="新宋体"/>
          <w:color w:val="auto"/>
          <w:sz w:val="28"/>
          <w:szCs w:val="28"/>
          <w:highlight w:val="none"/>
        </w:rPr>
      </w:pPr>
    </w:p>
    <w:p w14:paraId="23DEBE43">
      <w:pPr>
        <w:rPr>
          <w:rFonts w:ascii="宋体" w:hAnsi="宋体" w:cs="新宋体"/>
          <w:color w:val="auto"/>
          <w:sz w:val="28"/>
          <w:szCs w:val="28"/>
          <w:highlight w:val="none"/>
        </w:rPr>
      </w:pPr>
    </w:p>
    <w:p w14:paraId="1950EF6C">
      <w:pPr>
        <w:spacing w:line="360" w:lineRule="auto"/>
        <w:jc w:val="center"/>
        <w:outlineLvl w:val="2"/>
        <w:rPr>
          <w:rFonts w:ascii="宋体" w:hAnsi="宋体" w:cs="新宋体"/>
          <w:color w:val="auto"/>
          <w:szCs w:val="21"/>
          <w:highlight w:val="none"/>
        </w:rPr>
      </w:pPr>
      <w:bookmarkStart w:id="103" w:name="_Toc23048"/>
      <w:r>
        <w:rPr>
          <w:rFonts w:hint="eastAsia" w:ascii="宋体" w:hAnsi="宋体" w:cs="新宋体"/>
          <w:color w:val="auto"/>
          <w:sz w:val="52"/>
          <w:szCs w:val="52"/>
          <w:highlight w:val="none"/>
        </w:rPr>
        <w:t>商务技术标</w:t>
      </w:r>
      <w:bookmarkEnd w:id="103"/>
    </w:p>
    <w:p w14:paraId="465285C0">
      <w:pPr>
        <w:spacing w:line="360" w:lineRule="auto"/>
        <w:rPr>
          <w:rFonts w:ascii="宋体" w:hAnsi="宋体" w:cs="新宋体"/>
          <w:color w:val="auto"/>
          <w:szCs w:val="21"/>
          <w:highlight w:val="none"/>
        </w:rPr>
      </w:pPr>
    </w:p>
    <w:p w14:paraId="563B6641">
      <w:pPr>
        <w:spacing w:line="360" w:lineRule="auto"/>
        <w:rPr>
          <w:rFonts w:ascii="宋体" w:hAnsi="宋体" w:cs="新宋体"/>
          <w:color w:val="auto"/>
          <w:szCs w:val="21"/>
          <w:highlight w:val="none"/>
        </w:rPr>
      </w:pPr>
    </w:p>
    <w:p w14:paraId="722CD46A">
      <w:pPr>
        <w:pStyle w:val="2"/>
        <w:ind w:firstLine="200"/>
        <w:rPr>
          <w:rFonts w:ascii="宋体" w:hAnsi="宋体"/>
          <w:color w:val="auto"/>
          <w:highlight w:val="none"/>
        </w:rPr>
      </w:pPr>
    </w:p>
    <w:p w14:paraId="1F3F0065">
      <w:pPr>
        <w:pStyle w:val="2"/>
        <w:ind w:firstLine="200"/>
        <w:rPr>
          <w:rFonts w:ascii="宋体" w:hAnsi="宋体"/>
          <w:color w:val="auto"/>
          <w:highlight w:val="none"/>
        </w:rPr>
      </w:pPr>
    </w:p>
    <w:p w14:paraId="52CA7E90">
      <w:pPr>
        <w:pStyle w:val="2"/>
        <w:ind w:firstLine="200"/>
        <w:rPr>
          <w:rFonts w:ascii="宋体" w:hAnsi="宋体"/>
          <w:color w:val="auto"/>
          <w:highlight w:val="none"/>
        </w:rPr>
      </w:pPr>
    </w:p>
    <w:p w14:paraId="0BD9A888">
      <w:pPr>
        <w:spacing w:line="360" w:lineRule="auto"/>
        <w:rPr>
          <w:rFonts w:ascii="宋体" w:hAnsi="宋体" w:cs="新宋体"/>
          <w:color w:val="auto"/>
          <w:szCs w:val="21"/>
          <w:highlight w:val="none"/>
        </w:rPr>
      </w:pPr>
    </w:p>
    <w:p w14:paraId="5AD430DE">
      <w:pPr>
        <w:jc w:val="center"/>
        <w:rPr>
          <w:rFonts w:ascii="宋体" w:hAnsi="宋体" w:cs="新宋体"/>
          <w:color w:val="auto"/>
          <w:sz w:val="28"/>
          <w:szCs w:val="28"/>
          <w:highlight w:val="none"/>
        </w:rPr>
      </w:pPr>
      <w:r>
        <w:rPr>
          <w:rFonts w:hint="eastAsia" w:ascii="宋体" w:hAnsi="宋体" w:cs="新宋体"/>
          <w:color w:val="auto"/>
          <w:sz w:val="28"/>
          <w:szCs w:val="28"/>
          <w:highlight w:val="none"/>
        </w:rPr>
        <w:t>投标人：</w:t>
      </w: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（盖单位章）</w:t>
      </w:r>
    </w:p>
    <w:p w14:paraId="7F61B605">
      <w:pPr>
        <w:rPr>
          <w:rFonts w:ascii="宋体" w:hAnsi="宋体" w:cs="新宋体"/>
          <w:color w:val="auto"/>
          <w:sz w:val="28"/>
          <w:szCs w:val="28"/>
          <w:highlight w:val="none"/>
          <w:u w:val="single"/>
        </w:rPr>
      </w:pPr>
    </w:p>
    <w:p w14:paraId="118BEFD3">
      <w:pPr>
        <w:jc w:val="center"/>
        <w:rPr>
          <w:rFonts w:ascii="宋体" w:hAnsi="宋体" w:cs="新宋体"/>
          <w:color w:val="auto"/>
          <w:sz w:val="28"/>
          <w:szCs w:val="28"/>
          <w:highlight w:val="none"/>
        </w:rPr>
      </w:pPr>
      <w:r>
        <w:rPr>
          <w:rFonts w:hint="eastAsia" w:ascii="宋体" w:hAnsi="宋体" w:cs="新宋体"/>
          <w:color w:val="auto"/>
          <w:sz w:val="28"/>
          <w:szCs w:val="28"/>
          <w:highlight w:val="none"/>
        </w:rPr>
        <w:t>法定代表人或授权代表：</w:t>
      </w: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（签字或盖章）</w:t>
      </w:r>
    </w:p>
    <w:p w14:paraId="0ECC2C93">
      <w:pPr>
        <w:rPr>
          <w:rFonts w:ascii="宋体" w:hAnsi="宋体" w:cs="新宋体"/>
          <w:color w:val="auto"/>
          <w:sz w:val="28"/>
          <w:szCs w:val="28"/>
          <w:highlight w:val="none"/>
        </w:rPr>
      </w:pPr>
    </w:p>
    <w:p w14:paraId="1FF9B9F1">
      <w:pPr>
        <w:jc w:val="center"/>
        <w:rPr>
          <w:rFonts w:ascii="宋体" w:hAnsi="宋体" w:cs="新宋体"/>
          <w:color w:val="auto"/>
          <w:sz w:val="28"/>
          <w:szCs w:val="28"/>
          <w:highlight w:val="none"/>
        </w:rPr>
      </w:pP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年</w:t>
      </w: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月</w:t>
      </w: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日</w:t>
      </w:r>
    </w:p>
    <w:p w14:paraId="415DFD56">
      <w:pPr>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2"/>
          <w:szCs w:val="28"/>
          <w:highlight w:val="none"/>
        </w:rPr>
        <w:t>目录</w:t>
      </w:r>
    </w:p>
    <w:p w14:paraId="544DEC34">
      <w:pPr>
        <w:spacing w:line="460" w:lineRule="exact"/>
        <w:rPr>
          <w:rFonts w:ascii="宋体" w:hAnsi="宋体" w:cs="新宋体"/>
          <w:color w:val="auto"/>
          <w:sz w:val="22"/>
          <w:szCs w:val="22"/>
          <w:highlight w:val="none"/>
        </w:rPr>
      </w:pPr>
      <w:r>
        <w:rPr>
          <w:rFonts w:hint="eastAsia" w:ascii="宋体" w:hAnsi="宋体" w:cs="新宋体"/>
          <w:color w:val="auto"/>
          <w:sz w:val="22"/>
          <w:szCs w:val="22"/>
          <w:highlight w:val="none"/>
        </w:rPr>
        <w:tab/>
      </w:r>
      <w:r>
        <w:rPr>
          <w:rFonts w:hint="eastAsia" w:ascii="宋体" w:hAnsi="宋体" w:cs="新宋体"/>
          <w:color w:val="auto"/>
          <w:sz w:val="22"/>
          <w:szCs w:val="22"/>
          <w:highlight w:val="none"/>
        </w:rPr>
        <w:t>针对评分细则，编制目录索引，注明评标细则项目所在投标文件页码，格式自拟</w:t>
      </w:r>
    </w:p>
    <w:p w14:paraId="44BDEB53">
      <w:pPr>
        <w:spacing w:line="460" w:lineRule="exact"/>
        <w:rPr>
          <w:rFonts w:ascii="宋体" w:hAnsi="宋体" w:cs="新宋体"/>
          <w:color w:val="auto"/>
          <w:sz w:val="22"/>
          <w:szCs w:val="22"/>
          <w:highlight w:val="none"/>
        </w:rPr>
      </w:pPr>
      <w:r>
        <w:rPr>
          <w:rFonts w:hint="eastAsia" w:ascii="宋体" w:hAnsi="宋体" w:cs="新宋体"/>
          <w:color w:val="auto"/>
          <w:sz w:val="22"/>
          <w:szCs w:val="22"/>
          <w:highlight w:val="none"/>
        </w:rPr>
        <w:t>1</w:t>
      </w:r>
      <w:r>
        <w:rPr>
          <w:rFonts w:hint="eastAsia" w:ascii="宋体" w:hAnsi="宋体" w:cs="新宋体"/>
          <w:color w:val="auto"/>
          <w:sz w:val="22"/>
          <w:szCs w:val="22"/>
          <w:highlight w:val="none"/>
        </w:rPr>
        <w:tab/>
      </w:r>
      <w:r>
        <w:rPr>
          <w:rFonts w:hint="eastAsia" w:ascii="宋体" w:hAnsi="宋体" w:cs="新宋体"/>
          <w:color w:val="auto"/>
          <w:sz w:val="22"/>
          <w:szCs w:val="22"/>
          <w:highlight w:val="none"/>
        </w:rPr>
        <w:t>投标函；</w:t>
      </w:r>
    </w:p>
    <w:p w14:paraId="45FE9DD2">
      <w:pPr>
        <w:spacing w:line="460" w:lineRule="exact"/>
        <w:rPr>
          <w:rFonts w:ascii="宋体" w:hAnsi="宋体" w:cs="新宋体"/>
          <w:color w:val="auto"/>
          <w:sz w:val="22"/>
          <w:szCs w:val="22"/>
          <w:highlight w:val="none"/>
        </w:rPr>
      </w:pPr>
      <w:r>
        <w:rPr>
          <w:rFonts w:hint="eastAsia" w:ascii="宋体" w:hAnsi="宋体" w:cs="新宋体"/>
          <w:color w:val="auto"/>
          <w:sz w:val="22"/>
          <w:szCs w:val="22"/>
          <w:highlight w:val="none"/>
        </w:rPr>
        <w:t>2</w:t>
      </w:r>
      <w:r>
        <w:rPr>
          <w:rFonts w:hint="eastAsia" w:ascii="宋体" w:hAnsi="宋体" w:cs="新宋体"/>
          <w:color w:val="auto"/>
          <w:sz w:val="22"/>
          <w:szCs w:val="22"/>
          <w:highlight w:val="none"/>
        </w:rPr>
        <w:tab/>
      </w:r>
      <w:r>
        <w:rPr>
          <w:rFonts w:hint="eastAsia" w:ascii="宋体" w:hAnsi="宋体" w:cs="新宋体"/>
          <w:color w:val="auto"/>
          <w:sz w:val="22"/>
          <w:szCs w:val="22"/>
          <w:highlight w:val="none"/>
        </w:rPr>
        <w:t>技术规格、商务条款偏离表；</w:t>
      </w:r>
    </w:p>
    <w:p w14:paraId="2F9C97F6">
      <w:pPr>
        <w:spacing w:line="460" w:lineRule="exact"/>
        <w:rPr>
          <w:rFonts w:ascii="宋体" w:hAnsi="宋体" w:cs="新宋体"/>
          <w:color w:val="auto"/>
          <w:sz w:val="22"/>
          <w:szCs w:val="22"/>
          <w:highlight w:val="none"/>
        </w:rPr>
      </w:pPr>
      <w:r>
        <w:rPr>
          <w:rFonts w:hint="eastAsia" w:ascii="宋体" w:hAnsi="宋体" w:cs="新宋体"/>
          <w:color w:val="auto"/>
          <w:sz w:val="22"/>
          <w:szCs w:val="22"/>
          <w:highlight w:val="none"/>
        </w:rPr>
        <w:t>3</w:t>
      </w:r>
      <w:r>
        <w:rPr>
          <w:rFonts w:hint="eastAsia" w:ascii="宋体" w:hAnsi="宋体" w:cs="新宋体"/>
          <w:color w:val="auto"/>
          <w:sz w:val="22"/>
          <w:szCs w:val="22"/>
          <w:highlight w:val="none"/>
        </w:rPr>
        <w:tab/>
      </w:r>
      <w:r>
        <w:rPr>
          <w:rFonts w:hint="eastAsia" w:ascii="宋体" w:hAnsi="宋体" w:cs="新宋体"/>
          <w:color w:val="auto"/>
          <w:sz w:val="22"/>
          <w:szCs w:val="22"/>
          <w:highlight w:val="none"/>
        </w:rPr>
        <w:t>投标人基本情况表；</w:t>
      </w:r>
    </w:p>
    <w:p w14:paraId="36F388B0">
      <w:pPr>
        <w:spacing w:line="460" w:lineRule="exact"/>
        <w:rPr>
          <w:rFonts w:ascii="宋体" w:hAnsi="宋体" w:cs="新宋体"/>
          <w:color w:val="auto"/>
          <w:sz w:val="22"/>
          <w:szCs w:val="22"/>
          <w:highlight w:val="none"/>
        </w:rPr>
      </w:pPr>
      <w:r>
        <w:rPr>
          <w:rFonts w:hint="eastAsia" w:ascii="宋体" w:hAnsi="宋体" w:cs="新宋体"/>
          <w:color w:val="auto"/>
          <w:sz w:val="22"/>
          <w:szCs w:val="22"/>
          <w:highlight w:val="none"/>
        </w:rPr>
        <w:t>4</w:t>
      </w:r>
      <w:r>
        <w:rPr>
          <w:rFonts w:hint="eastAsia" w:ascii="宋体" w:hAnsi="宋体" w:cs="新宋体"/>
          <w:color w:val="auto"/>
          <w:sz w:val="22"/>
          <w:szCs w:val="22"/>
          <w:highlight w:val="none"/>
        </w:rPr>
        <w:tab/>
      </w:r>
      <w:r>
        <w:rPr>
          <w:rFonts w:hint="eastAsia" w:ascii="宋体" w:hAnsi="宋体" w:cs="新宋体"/>
          <w:color w:val="auto"/>
          <w:sz w:val="22"/>
          <w:szCs w:val="22"/>
          <w:highlight w:val="none"/>
          <w:lang w:val="en-US" w:eastAsia="zh-CN"/>
        </w:rPr>
        <w:t>企业</w:t>
      </w:r>
      <w:r>
        <w:rPr>
          <w:rFonts w:hint="eastAsia" w:ascii="宋体" w:hAnsi="宋体" w:cs="新宋体"/>
          <w:color w:val="auto"/>
          <w:sz w:val="22"/>
          <w:szCs w:val="22"/>
          <w:highlight w:val="none"/>
        </w:rPr>
        <w:t>业绩一览表；</w:t>
      </w:r>
    </w:p>
    <w:p w14:paraId="1094D7B2">
      <w:pPr>
        <w:spacing w:line="460" w:lineRule="exact"/>
        <w:rPr>
          <w:rFonts w:ascii="宋体" w:hAnsi="宋体" w:cs="新宋体"/>
          <w:color w:val="auto"/>
          <w:sz w:val="22"/>
          <w:szCs w:val="22"/>
          <w:highlight w:val="none"/>
        </w:rPr>
      </w:pPr>
      <w:r>
        <w:rPr>
          <w:rFonts w:hint="eastAsia" w:ascii="宋体" w:hAnsi="宋体" w:cs="新宋体"/>
          <w:color w:val="auto"/>
          <w:sz w:val="22"/>
          <w:szCs w:val="22"/>
          <w:highlight w:val="none"/>
        </w:rPr>
        <w:t>5</w:t>
      </w:r>
      <w:r>
        <w:rPr>
          <w:rFonts w:hint="eastAsia" w:ascii="宋体" w:hAnsi="宋体" w:cs="新宋体"/>
          <w:color w:val="auto"/>
          <w:sz w:val="22"/>
          <w:szCs w:val="22"/>
          <w:highlight w:val="none"/>
        </w:rPr>
        <w:tab/>
      </w:r>
      <w:r>
        <w:rPr>
          <w:rFonts w:hint="eastAsia" w:ascii="宋体" w:hAnsi="宋体" w:cs="新宋体"/>
          <w:color w:val="auto"/>
          <w:sz w:val="22"/>
          <w:szCs w:val="22"/>
          <w:highlight w:val="none"/>
        </w:rPr>
        <w:t>投标人认证证书；</w:t>
      </w:r>
    </w:p>
    <w:p w14:paraId="0522D6C7">
      <w:pPr>
        <w:spacing w:line="460" w:lineRule="exact"/>
        <w:rPr>
          <w:rFonts w:ascii="宋体" w:hAnsi="宋体" w:cs="宋体"/>
          <w:color w:val="auto"/>
          <w:sz w:val="22"/>
          <w:szCs w:val="22"/>
          <w:highlight w:val="none"/>
        </w:rPr>
      </w:pPr>
      <w:r>
        <w:rPr>
          <w:rFonts w:hint="eastAsia" w:ascii="宋体" w:hAnsi="宋体" w:cs="新宋体"/>
          <w:color w:val="auto"/>
          <w:sz w:val="22"/>
          <w:szCs w:val="22"/>
          <w:highlight w:val="none"/>
        </w:rPr>
        <w:t>6</w:t>
      </w:r>
      <w:r>
        <w:rPr>
          <w:rFonts w:hint="eastAsia" w:ascii="宋体" w:hAnsi="宋体" w:cs="新宋体"/>
          <w:color w:val="auto"/>
          <w:sz w:val="22"/>
          <w:szCs w:val="22"/>
          <w:highlight w:val="none"/>
        </w:rPr>
        <w:tab/>
      </w:r>
      <w:r>
        <w:rPr>
          <w:rFonts w:hint="eastAsia" w:ascii="宋体" w:hAnsi="宋体" w:cs="新宋体"/>
          <w:color w:val="auto"/>
          <w:sz w:val="22"/>
          <w:szCs w:val="22"/>
          <w:highlight w:val="none"/>
        </w:rPr>
        <w:t>项目组人员配置一览表（相关证明材料详见评标办法）</w:t>
      </w:r>
      <w:r>
        <w:rPr>
          <w:rFonts w:hint="eastAsia" w:ascii="宋体" w:hAnsi="宋体" w:cs="宋体"/>
          <w:color w:val="auto"/>
          <w:sz w:val="22"/>
          <w:szCs w:val="22"/>
          <w:highlight w:val="none"/>
        </w:rPr>
        <w:t>；</w:t>
      </w:r>
    </w:p>
    <w:p w14:paraId="444A000F">
      <w:pPr>
        <w:spacing w:line="460" w:lineRule="exact"/>
        <w:rPr>
          <w:rFonts w:ascii="宋体" w:hAnsi="宋体" w:cs="新宋体"/>
          <w:color w:val="auto"/>
          <w:sz w:val="22"/>
          <w:szCs w:val="22"/>
          <w:highlight w:val="none"/>
        </w:rPr>
      </w:pPr>
      <w:r>
        <w:rPr>
          <w:rFonts w:hint="eastAsia" w:ascii="宋体" w:hAnsi="宋体" w:cs="新宋体"/>
          <w:color w:val="auto"/>
          <w:sz w:val="22"/>
          <w:szCs w:val="22"/>
          <w:highlight w:val="none"/>
          <w:lang w:val="en-US" w:eastAsia="zh-CN"/>
        </w:rPr>
        <w:t>7</w:t>
      </w:r>
      <w:r>
        <w:rPr>
          <w:rFonts w:hint="eastAsia" w:ascii="宋体" w:hAnsi="宋体" w:cs="新宋体"/>
          <w:color w:val="auto"/>
          <w:sz w:val="22"/>
          <w:szCs w:val="22"/>
          <w:highlight w:val="none"/>
        </w:rPr>
        <w:tab/>
      </w:r>
      <w:r>
        <w:rPr>
          <w:rFonts w:hint="eastAsia" w:ascii="宋体" w:hAnsi="宋体" w:cs="新宋体"/>
          <w:color w:val="auto"/>
          <w:sz w:val="22"/>
          <w:szCs w:val="22"/>
          <w:highlight w:val="none"/>
        </w:rPr>
        <w:t>编制工作技术路线和方法（格式自拟）；</w:t>
      </w:r>
    </w:p>
    <w:p w14:paraId="35D9C39C">
      <w:pPr>
        <w:spacing w:line="460" w:lineRule="exact"/>
        <w:rPr>
          <w:rFonts w:ascii="宋体" w:hAnsi="宋体" w:cs="新宋体"/>
          <w:color w:val="auto"/>
          <w:sz w:val="22"/>
          <w:szCs w:val="22"/>
          <w:highlight w:val="none"/>
        </w:rPr>
      </w:pPr>
      <w:r>
        <w:rPr>
          <w:rFonts w:hint="eastAsia" w:ascii="宋体" w:hAnsi="宋体" w:cs="新宋体"/>
          <w:color w:val="auto"/>
          <w:sz w:val="22"/>
          <w:szCs w:val="22"/>
          <w:highlight w:val="none"/>
          <w:lang w:val="en-US" w:eastAsia="zh-CN"/>
        </w:rPr>
        <w:t>8</w:t>
      </w:r>
      <w:r>
        <w:rPr>
          <w:rFonts w:hint="eastAsia" w:ascii="宋体" w:hAnsi="宋体" w:cs="新宋体"/>
          <w:color w:val="auto"/>
          <w:sz w:val="22"/>
          <w:szCs w:val="22"/>
          <w:highlight w:val="none"/>
        </w:rPr>
        <w:tab/>
      </w:r>
      <w:r>
        <w:rPr>
          <w:rFonts w:hint="eastAsia" w:ascii="宋体" w:hAnsi="宋体" w:cs="新宋体"/>
          <w:color w:val="auto"/>
          <w:sz w:val="22"/>
          <w:szCs w:val="22"/>
          <w:highlight w:val="none"/>
        </w:rPr>
        <w:t>对本项目实施过程中重难点分析及应对措施（格式自拟）；</w:t>
      </w:r>
    </w:p>
    <w:p w14:paraId="33DFD934">
      <w:pPr>
        <w:spacing w:line="460" w:lineRule="exact"/>
        <w:rPr>
          <w:rFonts w:ascii="宋体" w:hAnsi="宋体" w:cs="新宋体"/>
          <w:color w:val="auto"/>
          <w:sz w:val="22"/>
          <w:szCs w:val="22"/>
          <w:highlight w:val="none"/>
        </w:rPr>
      </w:pPr>
      <w:r>
        <w:rPr>
          <w:rFonts w:hint="eastAsia" w:ascii="宋体" w:hAnsi="宋体" w:cs="新宋体"/>
          <w:color w:val="auto"/>
          <w:sz w:val="22"/>
          <w:szCs w:val="22"/>
          <w:highlight w:val="none"/>
          <w:lang w:val="en-US" w:eastAsia="zh-CN"/>
        </w:rPr>
        <w:t>9</w:t>
      </w:r>
      <w:r>
        <w:rPr>
          <w:rFonts w:hint="eastAsia" w:ascii="宋体" w:hAnsi="宋体" w:cs="新宋体"/>
          <w:color w:val="auto"/>
          <w:sz w:val="22"/>
          <w:szCs w:val="22"/>
          <w:highlight w:val="none"/>
        </w:rPr>
        <w:tab/>
      </w:r>
      <w:r>
        <w:rPr>
          <w:rFonts w:hint="eastAsia" w:ascii="宋体" w:hAnsi="宋体" w:cs="新宋体"/>
          <w:color w:val="auto"/>
          <w:sz w:val="22"/>
          <w:szCs w:val="22"/>
          <w:highlight w:val="none"/>
        </w:rPr>
        <w:t>质量保证措施（格式自拟）；</w:t>
      </w:r>
    </w:p>
    <w:p w14:paraId="29E0280B">
      <w:pPr>
        <w:spacing w:line="460" w:lineRule="exact"/>
        <w:rPr>
          <w:rFonts w:ascii="宋体" w:hAnsi="宋体" w:cs="新宋体"/>
          <w:color w:val="auto"/>
          <w:sz w:val="22"/>
          <w:szCs w:val="22"/>
          <w:highlight w:val="none"/>
        </w:rPr>
      </w:pPr>
      <w:r>
        <w:rPr>
          <w:rFonts w:hint="eastAsia" w:ascii="宋体" w:hAnsi="宋体" w:cs="新宋体"/>
          <w:color w:val="auto"/>
          <w:sz w:val="22"/>
          <w:szCs w:val="22"/>
          <w:highlight w:val="none"/>
        </w:rPr>
        <w:t>1</w:t>
      </w:r>
      <w:r>
        <w:rPr>
          <w:rFonts w:hint="eastAsia" w:ascii="宋体" w:hAnsi="宋体" w:cs="新宋体"/>
          <w:color w:val="auto"/>
          <w:sz w:val="22"/>
          <w:szCs w:val="22"/>
          <w:highlight w:val="none"/>
          <w:lang w:val="en-US" w:eastAsia="zh-CN"/>
        </w:rPr>
        <w:t>0</w:t>
      </w:r>
      <w:r>
        <w:rPr>
          <w:rFonts w:hint="eastAsia" w:ascii="宋体" w:hAnsi="宋体" w:cs="新宋体"/>
          <w:color w:val="auto"/>
          <w:sz w:val="22"/>
          <w:szCs w:val="22"/>
          <w:highlight w:val="none"/>
        </w:rPr>
        <w:tab/>
      </w:r>
      <w:r>
        <w:rPr>
          <w:rFonts w:hint="eastAsia" w:ascii="宋体" w:hAnsi="宋体" w:cs="新宋体"/>
          <w:color w:val="auto"/>
          <w:sz w:val="22"/>
          <w:szCs w:val="22"/>
          <w:highlight w:val="none"/>
        </w:rPr>
        <w:t>进度保证措施（格式自拟）；</w:t>
      </w:r>
    </w:p>
    <w:p w14:paraId="3854820C">
      <w:pPr>
        <w:spacing w:line="460" w:lineRule="exact"/>
        <w:rPr>
          <w:rFonts w:ascii="宋体" w:hAnsi="宋体" w:cs="新宋体"/>
          <w:color w:val="auto"/>
          <w:sz w:val="22"/>
          <w:szCs w:val="22"/>
          <w:highlight w:val="none"/>
        </w:rPr>
      </w:pPr>
      <w:r>
        <w:rPr>
          <w:rFonts w:hint="eastAsia" w:ascii="宋体" w:hAnsi="宋体" w:cs="新宋体"/>
          <w:color w:val="auto"/>
          <w:sz w:val="22"/>
          <w:szCs w:val="22"/>
          <w:highlight w:val="none"/>
        </w:rPr>
        <w:t>1</w:t>
      </w:r>
      <w:r>
        <w:rPr>
          <w:rFonts w:hint="eastAsia" w:ascii="宋体" w:hAnsi="宋体" w:cs="新宋体"/>
          <w:color w:val="auto"/>
          <w:sz w:val="22"/>
          <w:szCs w:val="22"/>
          <w:highlight w:val="none"/>
          <w:lang w:val="en-US" w:eastAsia="zh-CN"/>
        </w:rPr>
        <w:t>1</w:t>
      </w:r>
      <w:r>
        <w:rPr>
          <w:rFonts w:hint="eastAsia" w:ascii="宋体" w:hAnsi="宋体" w:cs="新宋体"/>
          <w:color w:val="auto"/>
          <w:sz w:val="22"/>
          <w:szCs w:val="22"/>
          <w:highlight w:val="none"/>
        </w:rPr>
        <w:tab/>
      </w:r>
      <w:r>
        <w:rPr>
          <w:rFonts w:hint="eastAsia" w:ascii="宋体" w:hAnsi="宋体" w:cs="新宋体"/>
          <w:color w:val="auto"/>
          <w:sz w:val="22"/>
          <w:szCs w:val="22"/>
          <w:highlight w:val="none"/>
        </w:rPr>
        <w:t>其他投标人认为需要提供的资信证明材料及内容。</w:t>
      </w:r>
    </w:p>
    <w:p w14:paraId="74CC7703">
      <w:pPr>
        <w:spacing w:line="360" w:lineRule="auto"/>
        <w:jc w:val="left"/>
        <w:outlineLvl w:val="3"/>
        <w:rPr>
          <w:rFonts w:ascii="宋体" w:hAnsi="宋体" w:cs="新宋体"/>
          <w:color w:val="auto"/>
          <w:sz w:val="22"/>
          <w:szCs w:val="22"/>
          <w:highlight w:val="none"/>
        </w:rPr>
      </w:pPr>
      <w:r>
        <w:rPr>
          <w:color w:val="auto"/>
          <w:highlight w:val="none"/>
        </w:rPr>
        <w:br w:type="page"/>
      </w:r>
      <w:r>
        <w:rPr>
          <w:rFonts w:hint="eastAsia" w:ascii="宋体" w:hAnsi="宋体"/>
          <w:color w:val="auto"/>
          <w:sz w:val="28"/>
          <w:szCs w:val="32"/>
          <w:highlight w:val="none"/>
        </w:rPr>
        <w:t>附件八</w:t>
      </w:r>
    </w:p>
    <w:p w14:paraId="282DC2B6">
      <w:pPr>
        <w:spacing w:line="400" w:lineRule="exact"/>
        <w:jc w:val="center"/>
        <w:outlineLvl w:val="4"/>
        <w:rPr>
          <w:rFonts w:ascii="宋体" w:hAnsi="宋体" w:cs="Courier New"/>
          <w:b/>
          <w:bCs/>
          <w:color w:val="auto"/>
          <w:sz w:val="28"/>
          <w:szCs w:val="28"/>
          <w:highlight w:val="none"/>
        </w:rPr>
      </w:pPr>
      <w:r>
        <w:rPr>
          <w:rFonts w:hint="eastAsia" w:ascii="宋体" w:hAnsi="宋体" w:cs="Courier New"/>
          <w:b/>
          <w:bCs/>
          <w:color w:val="auto"/>
          <w:sz w:val="28"/>
          <w:szCs w:val="28"/>
          <w:highlight w:val="none"/>
        </w:rPr>
        <w:t>投 标 函</w:t>
      </w:r>
    </w:p>
    <w:p w14:paraId="14D53297">
      <w:pPr>
        <w:spacing w:line="400" w:lineRule="exact"/>
        <w:jc w:val="center"/>
        <w:rPr>
          <w:rFonts w:ascii="宋体" w:hAnsi="宋体" w:cs="Courier New"/>
          <w:b/>
          <w:bCs/>
          <w:color w:val="auto"/>
          <w:sz w:val="30"/>
          <w:szCs w:val="30"/>
          <w:highlight w:val="none"/>
        </w:rPr>
      </w:pPr>
    </w:p>
    <w:p w14:paraId="110BDE71">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致：温州港乐清湾港务有限公司</w:t>
      </w:r>
    </w:p>
    <w:p w14:paraId="6AB25AF9">
      <w:pPr>
        <w:spacing w:line="40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根据贵方为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项目（项目编号: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）的投标邀请，我方</w:t>
      </w:r>
      <w:r>
        <w:rPr>
          <w:rFonts w:hint="eastAsia" w:ascii="宋体" w:hAnsi="宋体" w:cs="宋体"/>
          <w:color w:val="auto"/>
          <w:sz w:val="22"/>
          <w:szCs w:val="22"/>
          <w:highlight w:val="none"/>
          <w:u w:val="single"/>
        </w:rPr>
        <w:t xml:space="preserve">        （投标人名称）</w:t>
      </w:r>
      <w:r>
        <w:rPr>
          <w:rFonts w:hint="eastAsia" w:ascii="宋体" w:hAnsi="宋体" w:cs="宋体"/>
          <w:color w:val="auto"/>
          <w:sz w:val="22"/>
          <w:szCs w:val="22"/>
          <w:highlight w:val="none"/>
        </w:rPr>
        <w:t>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（授权代表全名）代表我方处理有关本投标的一切事宜。</w:t>
      </w:r>
    </w:p>
    <w:p w14:paraId="6855B34F">
      <w:pPr>
        <w:snapToGrid w:val="0"/>
        <w:spacing w:line="400" w:lineRule="exact"/>
        <w:ind w:left="-13" w:leftChars="-6" w:firstLine="462" w:firstLineChars="210"/>
        <w:rPr>
          <w:rFonts w:ascii="宋体" w:hAnsi="宋体" w:cs="宋体"/>
          <w:color w:val="auto"/>
          <w:sz w:val="22"/>
          <w:szCs w:val="22"/>
          <w:highlight w:val="none"/>
        </w:rPr>
      </w:pPr>
      <w:r>
        <w:rPr>
          <w:rFonts w:hint="eastAsia" w:ascii="宋体" w:hAnsi="宋体" w:cs="宋体"/>
          <w:color w:val="auto"/>
          <w:sz w:val="22"/>
          <w:szCs w:val="22"/>
          <w:highlight w:val="none"/>
        </w:rPr>
        <w:t>（一）本投标文件的有效期自投标截止日起</w:t>
      </w:r>
      <w:r>
        <w:rPr>
          <w:rFonts w:hint="eastAsia" w:ascii="宋体" w:hAnsi="宋体" w:cs="宋体"/>
          <w:b/>
          <w:color w:val="auto"/>
          <w:sz w:val="22"/>
          <w:szCs w:val="22"/>
          <w:highlight w:val="none"/>
        </w:rPr>
        <w:t xml:space="preserve"> </w:t>
      </w:r>
      <w:r>
        <w:rPr>
          <w:rFonts w:hint="eastAsia" w:ascii="宋体" w:hAnsi="宋体" w:cs="宋体"/>
          <w:b/>
          <w:color w:val="auto"/>
          <w:sz w:val="22"/>
          <w:szCs w:val="22"/>
          <w:highlight w:val="none"/>
          <w:u w:val="single"/>
        </w:rPr>
        <w:t xml:space="preserve"> 90  </w:t>
      </w:r>
      <w:r>
        <w:rPr>
          <w:rFonts w:hint="eastAsia" w:ascii="宋体" w:hAnsi="宋体" w:cs="宋体"/>
          <w:color w:val="auto"/>
          <w:sz w:val="22"/>
          <w:szCs w:val="22"/>
          <w:highlight w:val="none"/>
        </w:rPr>
        <w:t>天内有效，如中标，有效期将延至合同终止日为止；</w:t>
      </w:r>
    </w:p>
    <w:p w14:paraId="44322E80">
      <w:pPr>
        <w:snapToGrid w:val="0"/>
        <w:spacing w:line="400" w:lineRule="exact"/>
        <w:ind w:left="-13" w:leftChars="-6" w:firstLine="462" w:firstLineChars="210"/>
        <w:rPr>
          <w:rFonts w:ascii="宋体" w:hAnsi="宋体" w:cs="宋体"/>
          <w:color w:val="auto"/>
          <w:sz w:val="22"/>
          <w:szCs w:val="22"/>
          <w:highlight w:val="none"/>
        </w:rPr>
      </w:pPr>
      <w:r>
        <w:rPr>
          <w:rFonts w:hint="eastAsia" w:ascii="宋体" w:hAnsi="宋体" w:cs="宋体"/>
          <w:color w:val="auto"/>
          <w:sz w:val="22"/>
          <w:szCs w:val="22"/>
          <w:highlight w:val="none"/>
        </w:rPr>
        <w:t>（二）我方已详细研究了招标文件的所有内容包括修改书（如有）和所有已提供的参考资料以及有关附件，我方完全理解并同意放弃在此方面提出含糊意见或误解的一切权利；</w:t>
      </w:r>
    </w:p>
    <w:p w14:paraId="5A390C4A">
      <w:pPr>
        <w:snapToGrid w:val="0"/>
        <w:spacing w:line="400" w:lineRule="exact"/>
        <w:ind w:left="-13" w:leftChars="-6" w:firstLine="462" w:firstLineChars="210"/>
        <w:rPr>
          <w:rFonts w:ascii="宋体" w:hAnsi="宋体" w:cs="宋体"/>
          <w:color w:val="auto"/>
          <w:sz w:val="22"/>
          <w:szCs w:val="22"/>
          <w:highlight w:val="none"/>
        </w:rPr>
      </w:pPr>
      <w:r>
        <w:rPr>
          <w:rFonts w:hint="eastAsia" w:ascii="宋体" w:hAnsi="宋体" w:cs="宋体"/>
          <w:color w:val="auto"/>
          <w:sz w:val="22"/>
          <w:szCs w:val="22"/>
          <w:highlight w:val="none"/>
        </w:rPr>
        <w:t>（三）我方同意提供按照贵方可能要求的与投标有关的一切数据或资料；</w:t>
      </w:r>
    </w:p>
    <w:p w14:paraId="1034FBCD">
      <w:pPr>
        <w:snapToGrid w:val="0"/>
        <w:spacing w:line="400" w:lineRule="exact"/>
        <w:ind w:left="-13" w:leftChars="-6" w:firstLine="462" w:firstLineChars="210"/>
        <w:rPr>
          <w:rFonts w:ascii="宋体" w:hAnsi="宋体" w:cs="宋体"/>
          <w:color w:val="auto"/>
          <w:sz w:val="22"/>
          <w:szCs w:val="22"/>
          <w:highlight w:val="none"/>
        </w:rPr>
      </w:pPr>
      <w:r>
        <w:rPr>
          <w:rFonts w:hint="eastAsia" w:ascii="宋体" w:hAnsi="宋体" w:cs="宋体"/>
          <w:color w:val="auto"/>
          <w:sz w:val="22"/>
          <w:szCs w:val="22"/>
          <w:highlight w:val="none"/>
        </w:rPr>
        <w:t>（四）我方理解贵方不一定接受最低报价。</w:t>
      </w:r>
    </w:p>
    <w:p w14:paraId="5C8683DD">
      <w:pPr>
        <w:snapToGrid w:val="0"/>
        <w:spacing w:line="400" w:lineRule="exact"/>
        <w:ind w:left="-13" w:leftChars="-6" w:firstLine="462" w:firstLineChars="210"/>
        <w:rPr>
          <w:rFonts w:ascii="宋体" w:hAnsi="宋体" w:cs="宋体"/>
          <w:color w:val="auto"/>
          <w:sz w:val="22"/>
          <w:szCs w:val="22"/>
          <w:highlight w:val="none"/>
        </w:rPr>
      </w:pPr>
      <w:r>
        <w:rPr>
          <w:rFonts w:hint="eastAsia" w:ascii="宋体" w:hAnsi="宋体" w:cs="宋体"/>
          <w:color w:val="auto"/>
          <w:sz w:val="22"/>
          <w:szCs w:val="22"/>
          <w:highlight w:val="none"/>
        </w:rPr>
        <w:t>（五）我方如果中标，将保证履行招标文件以及招标补充文件（如有）中的全部责任和义务，按质、按量、按期完成《合同书》中的全部任务。</w:t>
      </w:r>
    </w:p>
    <w:p w14:paraId="67C499A9">
      <w:pPr>
        <w:autoSpaceDE w:val="0"/>
        <w:autoSpaceDN w:val="0"/>
        <w:adjustRightInd w:val="0"/>
        <w:snapToGrid w:val="0"/>
        <w:spacing w:line="400" w:lineRule="exact"/>
        <w:ind w:left="-13" w:leftChars="-6" w:firstLine="462" w:firstLineChars="210"/>
        <w:rPr>
          <w:rFonts w:ascii="宋体" w:hAnsi="宋体" w:cs="宋体"/>
          <w:color w:val="auto"/>
          <w:sz w:val="22"/>
          <w:szCs w:val="22"/>
          <w:highlight w:val="none"/>
        </w:rPr>
      </w:pPr>
      <w:r>
        <w:rPr>
          <w:rFonts w:hint="eastAsia" w:ascii="宋体" w:hAnsi="宋体" w:cs="宋体"/>
          <w:color w:val="auto"/>
          <w:sz w:val="22"/>
          <w:szCs w:val="22"/>
          <w:highlight w:val="none"/>
        </w:rPr>
        <w:t>（六）</w:t>
      </w:r>
      <w:r>
        <w:rPr>
          <w:rFonts w:hint="eastAsia" w:ascii="宋体" w:hAnsi="宋体" w:cs="宋体"/>
          <w:color w:val="auto"/>
          <w:sz w:val="22"/>
          <w:szCs w:val="22"/>
          <w:highlight w:val="none"/>
          <w:lang w:val="zh-CN"/>
        </w:rPr>
        <w:t>利益冲突：近三年内直至目前，我公司与本项目的招标人、招标组织机构没有任何的隶属关系。</w:t>
      </w:r>
    </w:p>
    <w:p w14:paraId="76B5C5E2">
      <w:pPr>
        <w:snapToGrid w:val="0"/>
        <w:spacing w:line="400" w:lineRule="exact"/>
        <w:ind w:left="-13" w:leftChars="-6" w:firstLine="462" w:firstLineChars="210"/>
        <w:rPr>
          <w:rFonts w:ascii="宋体" w:hAnsi="宋体" w:cs="宋体"/>
          <w:color w:val="auto"/>
          <w:sz w:val="22"/>
          <w:szCs w:val="22"/>
          <w:highlight w:val="none"/>
        </w:rPr>
      </w:pPr>
      <w:r>
        <w:rPr>
          <w:rFonts w:hint="eastAsia" w:ascii="宋体" w:hAnsi="宋体" w:cs="宋体"/>
          <w:color w:val="auto"/>
          <w:sz w:val="22"/>
          <w:szCs w:val="22"/>
          <w:highlight w:val="none"/>
        </w:rPr>
        <w:t>（七）所有与本投标有关的函件请发往下列地址：</w:t>
      </w:r>
    </w:p>
    <w:p w14:paraId="21183062">
      <w:pPr>
        <w:spacing w:line="40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地址</w:t>
      </w:r>
      <w:r>
        <w:rPr>
          <w:rFonts w:hint="eastAsia" w:ascii="宋体" w:hAnsi="宋体" w:cs="宋体"/>
          <w:color w:val="auto"/>
          <w:sz w:val="22"/>
          <w:szCs w:val="22"/>
          <w:highlight w:val="none"/>
          <w:u w:val="single"/>
        </w:rPr>
        <w:t xml:space="preserve">                           </w:t>
      </w:r>
    </w:p>
    <w:p w14:paraId="49DE25E9">
      <w:pPr>
        <w:spacing w:line="40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电话</w:t>
      </w:r>
      <w:r>
        <w:rPr>
          <w:rFonts w:hint="eastAsia" w:ascii="宋体" w:hAnsi="宋体" w:cs="宋体"/>
          <w:color w:val="auto"/>
          <w:sz w:val="22"/>
          <w:szCs w:val="22"/>
          <w:highlight w:val="none"/>
          <w:u w:val="single"/>
        </w:rPr>
        <w:t xml:space="preserve">                           </w:t>
      </w:r>
    </w:p>
    <w:p w14:paraId="71720713">
      <w:pPr>
        <w:spacing w:line="40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p>
    <w:p w14:paraId="49D745E9">
      <w:pPr>
        <w:spacing w:line="400" w:lineRule="exact"/>
        <w:ind w:firstLine="770" w:firstLineChars="350"/>
        <w:rPr>
          <w:rFonts w:ascii="宋体" w:hAnsi="宋体" w:cs="宋体"/>
          <w:color w:val="auto"/>
          <w:sz w:val="22"/>
          <w:szCs w:val="22"/>
          <w:highlight w:val="none"/>
        </w:rPr>
      </w:pPr>
      <w:r>
        <w:rPr>
          <w:rFonts w:hint="eastAsia" w:ascii="宋体" w:hAnsi="宋体" w:cs="宋体"/>
          <w:color w:val="auto"/>
          <w:sz w:val="22"/>
          <w:szCs w:val="22"/>
          <w:highlight w:val="none"/>
        </w:rPr>
        <w:t>电子邮件</w:t>
      </w:r>
      <w:r>
        <w:rPr>
          <w:rFonts w:hint="eastAsia" w:ascii="宋体" w:hAnsi="宋体" w:cs="宋体"/>
          <w:color w:val="auto"/>
          <w:sz w:val="22"/>
          <w:szCs w:val="22"/>
          <w:highlight w:val="none"/>
          <w:u w:val="single"/>
        </w:rPr>
        <w:t xml:space="preserve">                       </w:t>
      </w:r>
    </w:p>
    <w:p w14:paraId="0101C0A1">
      <w:pPr>
        <w:widowControl/>
        <w:adjustRightInd w:val="0"/>
        <w:snapToGrid w:val="0"/>
        <w:spacing w:line="360" w:lineRule="auto"/>
        <w:ind w:firstLine="440" w:firstLineChars="200"/>
        <w:jc w:val="center"/>
        <w:rPr>
          <w:rFonts w:ascii="宋体" w:hAnsi="宋体" w:cs="宋体"/>
          <w:color w:val="auto"/>
          <w:kern w:val="0"/>
          <w:sz w:val="22"/>
          <w:szCs w:val="22"/>
          <w:highlight w:val="none"/>
        </w:rPr>
      </w:pPr>
    </w:p>
    <w:p w14:paraId="5868A709">
      <w:pPr>
        <w:widowControl/>
        <w:adjustRightInd w:val="0"/>
        <w:snapToGrid w:val="0"/>
        <w:spacing w:line="360" w:lineRule="auto"/>
        <w:ind w:firstLine="440" w:firstLineChars="20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投标人全称（</w:t>
      </w:r>
      <w:r>
        <w:rPr>
          <w:rFonts w:hint="eastAsia" w:ascii="宋体" w:hAnsi="宋体" w:cs="宋体"/>
          <w:color w:val="auto"/>
          <w:sz w:val="22"/>
          <w:szCs w:val="22"/>
          <w:highlight w:val="none"/>
        </w:rPr>
        <w:t>加盖单位公章</w:t>
      </w:r>
      <w:r>
        <w:rPr>
          <w:rFonts w:hint="eastAsia" w:ascii="宋体" w:hAnsi="宋体" w:cs="宋体"/>
          <w:color w:val="auto"/>
          <w:kern w:val="0"/>
          <w:sz w:val="22"/>
          <w:szCs w:val="22"/>
          <w:highlight w:val="none"/>
        </w:rPr>
        <w:t>）：</w:t>
      </w:r>
    </w:p>
    <w:p w14:paraId="242A8641">
      <w:pPr>
        <w:widowControl/>
        <w:adjustRightInd w:val="0"/>
        <w:snapToGrid w:val="0"/>
        <w:spacing w:line="360" w:lineRule="auto"/>
        <w:ind w:firstLine="440" w:firstLineChars="20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法定代表人或授权代表（签字或盖章）：</w:t>
      </w:r>
    </w:p>
    <w:p w14:paraId="696E6BA7">
      <w:pPr>
        <w:spacing w:line="440" w:lineRule="exact"/>
        <w:ind w:firstLine="435"/>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日          期：  年  月  日</w:t>
      </w:r>
    </w:p>
    <w:p w14:paraId="2ED4B2D8">
      <w:pPr>
        <w:spacing w:line="360" w:lineRule="auto"/>
        <w:jc w:val="left"/>
        <w:outlineLvl w:val="3"/>
        <w:rPr>
          <w:rFonts w:ascii="宋体" w:hAnsi="宋体"/>
          <w:bCs/>
          <w:color w:val="auto"/>
          <w:sz w:val="28"/>
          <w:szCs w:val="28"/>
          <w:highlight w:val="none"/>
        </w:rPr>
      </w:pPr>
      <w:bookmarkStart w:id="104" w:name="_Toc50128412"/>
      <w:r>
        <w:rPr>
          <w:rFonts w:ascii="宋体" w:hAnsi="宋体"/>
          <w:b/>
          <w:color w:val="auto"/>
          <w:sz w:val="28"/>
          <w:szCs w:val="28"/>
          <w:highlight w:val="none"/>
        </w:rPr>
        <w:br w:type="page"/>
      </w:r>
      <w:r>
        <w:rPr>
          <w:rFonts w:hint="eastAsia" w:ascii="宋体" w:hAnsi="宋体"/>
          <w:color w:val="auto"/>
          <w:sz w:val="28"/>
          <w:szCs w:val="32"/>
          <w:highlight w:val="none"/>
        </w:rPr>
        <w:t>附件</w:t>
      </w:r>
      <w:bookmarkEnd w:id="104"/>
      <w:r>
        <w:rPr>
          <w:rFonts w:hint="eastAsia" w:ascii="宋体" w:hAnsi="宋体"/>
          <w:color w:val="auto"/>
          <w:sz w:val="28"/>
          <w:szCs w:val="32"/>
          <w:highlight w:val="none"/>
        </w:rPr>
        <w:t>九</w:t>
      </w:r>
    </w:p>
    <w:p w14:paraId="1CA0FB35">
      <w:pPr>
        <w:spacing w:line="360" w:lineRule="auto"/>
        <w:jc w:val="center"/>
        <w:outlineLvl w:val="4"/>
        <w:rPr>
          <w:rFonts w:ascii="宋体" w:hAnsi="宋体" w:cs="宋体"/>
          <w:b/>
          <w:bCs/>
          <w:color w:val="auto"/>
          <w:sz w:val="28"/>
          <w:szCs w:val="28"/>
          <w:highlight w:val="none"/>
        </w:rPr>
      </w:pPr>
      <w:r>
        <w:rPr>
          <w:rFonts w:hint="eastAsia" w:ascii="宋体" w:hAnsi="宋体" w:cs="宋体"/>
          <w:b/>
          <w:bCs/>
          <w:color w:val="auto"/>
          <w:sz w:val="28"/>
          <w:szCs w:val="28"/>
          <w:highlight w:val="none"/>
        </w:rPr>
        <w:t>技术规格、商务条款偏离表</w:t>
      </w:r>
    </w:p>
    <w:tbl>
      <w:tblPr>
        <w:tblStyle w:val="30"/>
        <w:tblW w:w="93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39"/>
        <w:gridCol w:w="1358"/>
        <w:gridCol w:w="1867"/>
        <w:gridCol w:w="1800"/>
        <w:gridCol w:w="1863"/>
        <w:gridCol w:w="1562"/>
      </w:tblGrid>
      <w:tr w14:paraId="09B63F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2" w:hRule="atLeast"/>
          <w:jc w:val="center"/>
        </w:trPr>
        <w:tc>
          <w:tcPr>
            <w:tcW w:w="939" w:type="dxa"/>
          </w:tcPr>
          <w:p w14:paraId="3420FD08">
            <w:pPr>
              <w:spacing w:line="380" w:lineRule="exact"/>
              <w:jc w:val="center"/>
              <w:rPr>
                <w:rFonts w:ascii="宋体" w:hAnsi="宋体" w:cs="宋体"/>
                <w:color w:val="auto"/>
                <w:sz w:val="22"/>
                <w:szCs w:val="22"/>
                <w:highlight w:val="none"/>
              </w:rPr>
            </w:pPr>
          </w:p>
        </w:tc>
        <w:tc>
          <w:tcPr>
            <w:tcW w:w="1358" w:type="dxa"/>
            <w:vAlign w:val="center"/>
          </w:tcPr>
          <w:p w14:paraId="61AD8F25">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867" w:type="dxa"/>
            <w:vAlign w:val="center"/>
          </w:tcPr>
          <w:p w14:paraId="62BC4BF3">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招标文件</w:t>
            </w:r>
          </w:p>
          <w:p w14:paraId="7BD92CEE">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条目号</w:t>
            </w:r>
          </w:p>
        </w:tc>
        <w:tc>
          <w:tcPr>
            <w:tcW w:w="1800" w:type="dxa"/>
            <w:vAlign w:val="center"/>
          </w:tcPr>
          <w:p w14:paraId="56CF71F2">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招标文件</w:t>
            </w:r>
          </w:p>
          <w:p w14:paraId="396DF3CC">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规范要求</w:t>
            </w:r>
          </w:p>
        </w:tc>
        <w:tc>
          <w:tcPr>
            <w:tcW w:w="1863" w:type="dxa"/>
            <w:vAlign w:val="center"/>
          </w:tcPr>
          <w:p w14:paraId="578AD636">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w:t>
            </w:r>
          </w:p>
          <w:p w14:paraId="426FB077">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对应规范</w:t>
            </w:r>
          </w:p>
        </w:tc>
        <w:tc>
          <w:tcPr>
            <w:tcW w:w="1562" w:type="dxa"/>
            <w:vAlign w:val="center"/>
          </w:tcPr>
          <w:p w14:paraId="2EA9C0AC">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说明</w:t>
            </w:r>
          </w:p>
        </w:tc>
      </w:tr>
      <w:tr w14:paraId="7851BF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6" w:hRule="atLeast"/>
          <w:jc w:val="center"/>
        </w:trPr>
        <w:tc>
          <w:tcPr>
            <w:tcW w:w="939" w:type="dxa"/>
            <w:vMerge w:val="restart"/>
            <w:vAlign w:val="center"/>
          </w:tcPr>
          <w:p w14:paraId="2ABB1CA8">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技</w:t>
            </w:r>
          </w:p>
          <w:p w14:paraId="018D4D8E">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术</w:t>
            </w:r>
          </w:p>
          <w:p w14:paraId="1AA74FE4">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规</w:t>
            </w:r>
          </w:p>
          <w:p w14:paraId="5B3241CA">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格</w:t>
            </w:r>
          </w:p>
        </w:tc>
        <w:tc>
          <w:tcPr>
            <w:tcW w:w="1358" w:type="dxa"/>
            <w:vAlign w:val="center"/>
          </w:tcPr>
          <w:p w14:paraId="41BA589D">
            <w:pPr>
              <w:spacing w:line="380" w:lineRule="exact"/>
              <w:jc w:val="center"/>
              <w:rPr>
                <w:rFonts w:ascii="宋体" w:hAnsi="宋体" w:cs="宋体"/>
                <w:color w:val="auto"/>
                <w:sz w:val="22"/>
                <w:szCs w:val="22"/>
                <w:highlight w:val="none"/>
              </w:rPr>
            </w:pPr>
          </w:p>
        </w:tc>
        <w:tc>
          <w:tcPr>
            <w:tcW w:w="1867" w:type="dxa"/>
            <w:vAlign w:val="center"/>
          </w:tcPr>
          <w:p w14:paraId="17A49DF9">
            <w:pPr>
              <w:spacing w:line="380" w:lineRule="exact"/>
              <w:jc w:val="center"/>
              <w:rPr>
                <w:rFonts w:ascii="宋体" w:hAnsi="宋体" w:cs="宋体"/>
                <w:color w:val="auto"/>
                <w:sz w:val="22"/>
                <w:szCs w:val="22"/>
                <w:highlight w:val="none"/>
              </w:rPr>
            </w:pPr>
          </w:p>
        </w:tc>
        <w:tc>
          <w:tcPr>
            <w:tcW w:w="1800" w:type="dxa"/>
            <w:vAlign w:val="center"/>
          </w:tcPr>
          <w:p w14:paraId="432570A7">
            <w:pPr>
              <w:spacing w:line="380" w:lineRule="exact"/>
              <w:jc w:val="center"/>
              <w:rPr>
                <w:rFonts w:ascii="宋体" w:hAnsi="宋体" w:cs="宋体"/>
                <w:color w:val="auto"/>
                <w:sz w:val="22"/>
                <w:szCs w:val="22"/>
                <w:highlight w:val="none"/>
              </w:rPr>
            </w:pPr>
          </w:p>
        </w:tc>
        <w:tc>
          <w:tcPr>
            <w:tcW w:w="1863" w:type="dxa"/>
            <w:vAlign w:val="center"/>
          </w:tcPr>
          <w:p w14:paraId="1DEAD69F">
            <w:pPr>
              <w:spacing w:line="380" w:lineRule="exact"/>
              <w:jc w:val="center"/>
              <w:rPr>
                <w:rFonts w:ascii="宋体" w:hAnsi="宋体" w:cs="宋体"/>
                <w:color w:val="auto"/>
                <w:sz w:val="22"/>
                <w:szCs w:val="22"/>
                <w:highlight w:val="none"/>
              </w:rPr>
            </w:pPr>
          </w:p>
        </w:tc>
        <w:tc>
          <w:tcPr>
            <w:tcW w:w="1562" w:type="dxa"/>
            <w:vAlign w:val="center"/>
          </w:tcPr>
          <w:p w14:paraId="682E7E3F">
            <w:pPr>
              <w:spacing w:line="380" w:lineRule="exact"/>
              <w:jc w:val="center"/>
              <w:rPr>
                <w:rFonts w:ascii="宋体" w:hAnsi="宋体" w:cs="宋体"/>
                <w:color w:val="auto"/>
                <w:sz w:val="22"/>
                <w:szCs w:val="22"/>
                <w:highlight w:val="none"/>
              </w:rPr>
            </w:pPr>
          </w:p>
        </w:tc>
      </w:tr>
      <w:tr w14:paraId="0E9458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7ECC1BDB">
            <w:pPr>
              <w:spacing w:line="380" w:lineRule="exact"/>
              <w:ind w:firstLine="220" w:firstLineChars="100"/>
              <w:rPr>
                <w:rFonts w:ascii="宋体" w:hAnsi="宋体" w:cs="宋体"/>
                <w:color w:val="auto"/>
                <w:sz w:val="22"/>
                <w:szCs w:val="22"/>
                <w:highlight w:val="none"/>
              </w:rPr>
            </w:pPr>
          </w:p>
        </w:tc>
        <w:tc>
          <w:tcPr>
            <w:tcW w:w="1358" w:type="dxa"/>
            <w:vAlign w:val="center"/>
          </w:tcPr>
          <w:p w14:paraId="1A6C02AB">
            <w:pPr>
              <w:spacing w:line="380" w:lineRule="exact"/>
              <w:jc w:val="center"/>
              <w:rPr>
                <w:rFonts w:ascii="宋体" w:hAnsi="宋体" w:cs="宋体"/>
                <w:color w:val="auto"/>
                <w:sz w:val="22"/>
                <w:szCs w:val="22"/>
                <w:highlight w:val="none"/>
              </w:rPr>
            </w:pPr>
          </w:p>
        </w:tc>
        <w:tc>
          <w:tcPr>
            <w:tcW w:w="1867" w:type="dxa"/>
            <w:vAlign w:val="center"/>
          </w:tcPr>
          <w:p w14:paraId="6BE8753A">
            <w:pPr>
              <w:spacing w:line="380" w:lineRule="exact"/>
              <w:jc w:val="center"/>
              <w:rPr>
                <w:rFonts w:ascii="宋体" w:hAnsi="宋体" w:cs="宋体"/>
                <w:color w:val="auto"/>
                <w:sz w:val="22"/>
                <w:szCs w:val="22"/>
                <w:highlight w:val="none"/>
              </w:rPr>
            </w:pPr>
          </w:p>
        </w:tc>
        <w:tc>
          <w:tcPr>
            <w:tcW w:w="1800" w:type="dxa"/>
            <w:vAlign w:val="center"/>
          </w:tcPr>
          <w:p w14:paraId="244B32F7">
            <w:pPr>
              <w:spacing w:line="380" w:lineRule="exact"/>
              <w:jc w:val="center"/>
              <w:rPr>
                <w:rFonts w:ascii="宋体" w:hAnsi="宋体" w:cs="宋体"/>
                <w:color w:val="auto"/>
                <w:sz w:val="22"/>
                <w:szCs w:val="22"/>
                <w:highlight w:val="none"/>
              </w:rPr>
            </w:pPr>
          </w:p>
        </w:tc>
        <w:tc>
          <w:tcPr>
            <w:tcW w:w="1863" w:type="dxa"/>
            <w:vAlign w:val="center"/>
          </w:tcPr>
          <w:p w14:paraId="382C60CF">
            <w:pPr>
              <w:spacing w:line="380" w:lineRule="exact"/>
              <w:jc w:val="center"/>
              <w:rPr>
                <w:rFonts w:ascii="宋体" w:hAnsi="宋体" w:cs="宋体"/>
                <w:color w:val="auto"/>
                <w:sz w:val="22"/>
                <w:szCs w:val="22"/>
                <w:highlight w:val="none"/>
              </w:rPr>
            </w:pPr>
          </w:p>
        </w:tc>
        <w:tc>
          <w:tcPr>
            <w:tcW w:w="1562" w:type="dxa"/>
            <w:vAlign w:val="center"/>
          </w:tcPr>
          <w:p w14:paraId="28344399">
            <w:pPr>
              <w:spacing w:line="380" w:lineRule="exact"/>
              <w:jc w:val="center"/>
              <w:rPr>
                <w:rFonts w:ascii="宋体" w:hAnsi="宋体" w:cs="宋体"/>
                <w:color w:val="auto"/>
                <w:sz w:val="22"/>
                <w:szCs w:val="22"/>
                <w:highlight w:val="none"/>
              </w:rPr>
            </w:pPr>
          </w:p>
        </w:tc>
      </w:tr>
      <w:tr w14:paraId="12B7A2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54F4650E">
            <w:pPr>
              <w:spacing w:line="380" w:lineRule="exact"/>
              <w:jc w:val="center"/>
              <w:rPr>
                <w:rFonts w:ascii="宋体" w:hAnsi="宋体" w:cs="宋体"/>
                <w:color w:val="auto"/>
                <w:sz w:val="22"/>
                <w:szCs w:val="22"/>
                <w:highlight w:val="none"/>
              </w:rPr>
            </w:pPr>
          </w:p>
        </w:tc>
        <w:tc>
          <w:tcPr>
            <w:tcW w:w="1358" w:type="dxa"/>
            <w:vAlign w:val="center"/>
          </w:tcPr>
          <w:p w14:paraId="50236588">
            <w:pPr>
              <w:spacing w:line="380" w:lineRule="exact"/>
              <w:jc w:val="center"/>
              <w:rPr>
                <w:rFonts w:ascii="宋体" w:hAnsi="宋体" w:cs="宋体"/>
                <w:color w:val="auto"/>
                <w:sz w:val="22"/>
                <w:szCs w:val="22"/>
                <w:highlight w:val="none"/>
              </w:rPr>
            </w:pPr>
          </w:p>
        </w:tc>
        <w:tc>
          <w:tcPr>
            <w:tcW w:w="1867" w:type="dxa"/>
            <w:vAlign w:val="center"/>
          </w:tcPr>
          <w:p w14:paraId="3A0F5E5E">
            <w:pPr>
              <w:spacing w:line="380" w:lineRule="exact"/>
              <w:jc w:val="center"/>
              <w:rPr>
                <w:rFonts w:ascii="宋体" w:hAnsi="宋体" w:cs="宋体"/>
                <w:color w:val="auto"/>
                <w:sz w:val="22"/>
                <w:szCs w:val="22"/>
                <w:highlight w:val="none"/>
              </w:rPr>
            </w:pPr>
          </w:p>
        </w:tc>
        <w:tc>
          <w:tcPr>
            <w:tcW w:w="1800" w:type="dxa"/>
            <w:vAlign w:val="center"/>
          </w:tcPr>
          <w:p w14:paraId="6E77BD27">
            <w:pPr>
              <w:spacing w:line="380" w:lineRule="exact"/>
              <w:jc w:val="center"/>
              <w:rPr>
                <w:rFonts w:ascii="宋体" w:hAnsi="宋体" w:cs="宋体"/>
                <w:color w:val="auto"/>
                <w:sz w:val="22"/>
                <w:szCs w:val="22"/>
                <w:highlight w:val="none"/>
              </w:rPr>
            </w:pPr>
          </w:p>
        </w:tc>
        <w:tc>
          <w:tcPr>
            <w:tcW w:w="1863" w:type="dxa"/>
            <w:vAlign w:val="center"/>
          </w:tcPr>
          <w:p w14:paraId="017AFA7F">
            <w:pPr>
              <w:spacing w:line="380" w:lineRule="exact"/>
              <w:jc w:val="center"/>
              <w:rPr>
                <w:rFonts w:ascii="宋体" w:hAnsi="宋体" w:cs="宋体"/>
                <w:color w:val="auto"/>
                <w:sz w:val="22"/>
                <w:szCs w:val="22"/>
                <w:highlight w:val="none"/>
              </w:rPr>
            </w:pPr>
          </w:p>
        </w:tc>
        <w:tc>
          <w:tcPr>
            <w:tcW w:w="1562" w:type="dxa"/>
            <w:vAlign w:val="center"/>
          </w:tcPr>
          <w:p w14:paraId="018065CC">
            <w:pPr>
              <w:spacing w:line="380" w:lineRule="exact"/>
              <w:jc w:val="center"/>
              <w:rPr>
                <w:rFonts w:ascii="宋体" w:hAnsi="宋体" w:cs="宋体"/>
                <w:color w:val="auto"/>
                <w:sz w:val="22"/>
                <w:szCs w:val="22"/>
                <w:highlight w:val="none"/>
              </w:rPr>
            </w:pPr>
          </w:p>
        </w:tc>
      </w:tr>
      <w:tr w14:paraId="711830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5C021C69">
            <w:pPr>
              <w:spacing w:line="380" w:lineRule="exact"/>
              <w:jc w:val="center"/>
              <w:rPr>
                <w:rFonts w:ascii="宋体" w:hAnsi="宋体" w:cs="宋体"/>
                <w:color w:val="auto"/>
                <w:sz w:val="22"/>
                <w:szCs w:val="22"/>
                <w:highlight w:val="none"/>
              </w:rPr>
            </w:pPr>
          </w:p>
        </w:tc>
        <w:tc>
          <w:tcPr>
            <w:tcW w:w="1358" w:type="dxa"/>
            <w:vAlign w:val="center"/>
          </w:tcPr>
          <w:p w14:paraId="14B5B647">
            <w:pPr>
              <w:spacing w:line="380" w:lineRule="exact"/>
              <w:jc w:val="center"/>
              <w:rPr>
                <w:rFonts w:ascii="宋体" w:hAnsi="宋体" w:cs="宋体"/>
                <w:color w:val="auto"/>
                <w:sz w:val="22"/>
                <w:szCs w:val="22"/>
                <w:highlight w:val="none"/>
              </w:rPr>
            </w:pPr>
          </w:p>
        </w:tc>
        <w:tc>
          <w:tcPr>
            <w:tcW w:w="1867" w:type="dxa"/>
            <w:vAlign w:val="center"/>
          </w:tcPr>
          <w:p w14:paraId="54BD88A0">
            <w:pPr>
              <w:spacing w:line="380" w:lineRule="exact"/>
              <w:jc w:val="center"/>
              <w:rPr>
                <w:rFonts w:ascii="宋体" w:hAnsi="宋体" w:cs="宋体"/>
                <w:color w:val="auto"/>
                <w:sz w:val="22"/>
                <w:szCs w:val="22"/>
                <w:highlight w:val="none"/>
              </w:rPr>
            </w:pPr>
          </w:p>
        </w:tc>
        <w:tc>
          <w:tcPr>
            <w:tcW w:w="1800" w:type="dxa"/>
            <w:vAlign w:val="center"/>
          </w:tcPr>
          <w:p w14:paraId="5040085F">
            <w:pPr>
              <w:spacing w:line="380" w:lineRule="exact"/>
              <w:jc w:val="center"/>
              <w:rPr>
                <w:rFonts w:ascii="宋体" w:hAnsi="宋体" w:cs="宋体"/>
                <w:color w:val="auto"/>
                <w:sz w:val="22"/>
                <w:szCs w:val="22"/>
                <w:highlight w:val="none"/>
              </w:rPr>
            </w:pPr>
          </w:p>
        </w:tc>
        <w:tc>
          <w:tcPr>
            <w:tcW w:w="1863" w:type="dxa"/>
            <w:vAlign w:val="center"/>
          </w:tcPr>
          <w:p w14:paraId="4A33AAB3">
            <w:pPr>
              <w:spacing w:line="380" w:lineRule="exact"/>
              <w:jc w:val="center"/>
              <w:rPr>
                <w:rFonts w:ascii="宋体" w:hAnsi="宋体" w:cs="宋体"/>
                <w:color w:val="auto"/>
                <w:sz w:val="22"/>
                <w:szCs w:val="22"/>
                <w:highlight w:val="none"/>
              </w:rPr>
            </w:pPr>
          </w:p>
        </w:tc>
        <w:tc>
          <w:tcPr>
            <w:tcW w:w="1562" w:type="dxa"/>
            <w:vAlign w:val="center"/>
          </w:tcPr>
          <w:p w14:paraId="7C26F526">
            <w:pPr>
              <w:spacing w:line="380" w:lineRule="exact"/>
              <w:jc w:val="center"/>
              <w:rPr>
                <w:rFonts w:ascii="宋体" w:hAnsi="宋体" w:cs="宋体"/>
                <w:color w:val="auto"/>
                <w:sz w:val="22"/>
                <w:szCs w:val="22"/>
                <w:highlight w:val="none"/>
              </w:rPr>
            </w:pPr>
          </w:p>
        </w:tc>
      </w:tr>
      <w:tr w14:paraId="42F3A6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57F6E36D">
            <w:pPr>
              <w:spacing w:line="380" w:lineRule="exact"/>
              <w:jc w:val="center"/>
              <w:rPr>
                <w:rFonts w:ascii="宋体" w:hAnsi="宋体" w:cs="宋体"/>
                <w:color w:val="auto"/>
                <w:sz w:val="22"/>
                <w:szCs w:val="22"/>
                <w:highlight w:val="none"/>
              </w:rPr>
            </w:pPr>
          </w:p>
        </w:tc>
        <w:tc>
          <w:tcPr>
            <w:tcW w:w="1358" w:type="dxa"/>
            <w:vAlign w:val="center"/>
          </w:tcPr>
          <w:p w14:paraId="6270FE77">
            <w:pPr>
              <w:spacing w:line="380" w:lineRule="exact"/>
              <w:jc w:val="center"/>
              <w:rPr>
                <w:rFonts w:ascii="宋体" w:hAnsi="宋体" w:cs="宋体"/>
                <w:color w:val="auto"/>
                <w:sz w:val="22"/>
                <w:szCs w:val="22"/>
                <w:highlight w:val="none"/>
              </w:rPr>
            </w:pPr>
          </w:p>
        </w:tc>
        <w:tc>
          <w:tcPr>
            <w:tcW w:w="1867" w:type="dxa"/>
            <w:vAlign w:val="center"/>
          </w:tcPr>
          <w:p w14:paraId="0B24EA6D">
            <w:pPr>
              <w:spacing w:line="380" w:lineRule="exact"/>
              <w:jc w:val="center"/>
              <w:rPr>
                <w:rFonts w:ascii="宋体" w:hAnsi="宋体" w:cs="宋体"/>
                <w:color w:val="auto"/>
                <w:sz w:val="22"/>
                <w:szCs w:val="22"/>
                <w:highlight w:val="none"/>
              </w:rPr>
            </w:pPr>
          </w:p>
        </w:tc>
        <w:tc>
          <w:tcPr>
            <w:tcW w:w="1800" w:type="dxa"/>
            <w:vAlign w:val="center"/>
          </w:tcPr>
          <w:p w14:paraId="00D8A404">
            <w:pPr>
              <w:spacing w:line="380" w:lineRule="exact"/>
              <w:jc w:val="center"/>
              <w:rPr>
                <w:rFonts w:ascii="宋体" w:hAnsi="宋体" w:cs="宋体"/>
                <w:color w:val="auto"/>
                <w:sz w:val="22"/>
                <w:szCs w:val="22"/>
                <w:highlight w:val="none"/>
              </w:rPr>
            </w:pPr>
          </w:p>
        </w:tc>
        <w:tc>
          <w:tcPr>
            <w:tcW w:w="1863" w:type="dxa"/>
            <w:vAlign w:val="center"/>
          </w:tcPr>
          <w:p w14:paraId="4168B9BC">
            <w:pPr>
              <w:spacing w:line="380" w:lineRule="exact"/>
              <w:jc w:val="center"/>
              <w:rPr>
                <w:rFonts w:ascii="宋体" w:hAnsi="宋体" w:cs="宋体"/>
                <w:color w:val="auto"/>
                <w:sz w:val="22"/>
                <w:szCs w:val="22"/>
                <w:highlight w:val="none"/>
              </w:rPr>
            </w:pPr>
          </w:p>
        </w:tc>
        <w:tc>
          <w:tcPr>
            <w:tcW w:w="1562" w:type="dxa"/>
            <w:vAlign w:val="center"/>
          </w:tcPr>
          <w:p w14:paraId="7078CC9B">
            <w:pPr>
              <w:spacing w:line="380" w:lineRule="exact"/>
              <w:jc w:val="center"/>
              <w:rPr>
                <w:rFonts w:ascii="宋体" w:hAnsi="宋体" w:cs="宋体"/>
                <w:color w:val="auto"/>
                <w:sz w:val="22"/>
                <w:szCs w:val="22"/>
                <w:highlight w:val="none"/>
              </w:rPr>
            </w:pPr>
          </w:p>
        </w:tc>
      </w:tr>
      <w:tr w14:paraId="3A0D6D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4" w:hRule="atLeast"/>
          <w:jc w:val="center"/>
        </w:trPr>
        <w:tc>
          <w:tcPr>
            <w:tcW w:w="939" w:type="dxa"/>
            <w:vMerge w:val="restart"/>
            <w:vAlign w:val="center"/>
          </w:tcPr>
          <w:p w14:paraId="17B8C7AA">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商</w:t>
            </w:r>
          </w:p>
          <w:p w14:paraId="195D36D6">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务</w:t>
            </w:r>
          </w:p>
          <w:p w14:paraId="65DB1441">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条</w:t>
            </w:r>
          </w:p>
          <w:p w14:paraId="6AEED544">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款</w:t>
            </w:r>
          </w:p>
        </w:tc>
        <w:tc>
          <w:tcPr>
            <w:tcW w:w="1358" w:type="dxa"/>
            <w:vAlign w:val="center"/>
          </w:tcPr>
          <w:p w14:paraId="6BEDBFBB">
            <w:pPr>
              <w:spacing w:line="380" w:lineRule="exact"/>
              <w:jc w:val="center"/>
              <w:rPr>
                <w:rFonts w:ascii="宋体" w:hAnsi="宋体" w:cs="宋体"/>
                <w:color w:val="auto"/>
                <w:sz w:val="22"/>
                <w:szCs w:val="22"/>
                <w:highlight w:val="none"/>
              </w:rPr>
            </w:pPr>
          </w:p>
        </w:tc>
        <w:tc>
          <w:tcPr>
            <w:tcW w:w="1867" w:type="dxa"/>
            <w:vAlign w:val="center"/>
          </w:tcPr>
          <w:p w14:paraId="325B0A11">
            <w:pPr>
              <w:spacing w:line="380" w:lineRule="exact"/>
              <w:jc w:val="center"/>
              <w:rPr>
                <w:rFonts w:ascii="宋体" w:hAnsi="宋体" w:cs="宋体"/>
                <w:color w:val="auto"/>
                <w:sz w:val="22"/>
                <w:szCs w:val="22"/>
                <w:highlight w:val="none"/>
              </w:rPr>
            </w:pPr>
          </w:p>
        </w:tc>
        <w:tc>
          <w:tcPr>
            <w:tcW w:w="1800" w:type="dxa"/>
            <w:vAlign w:val="center"/>
          </w:tcPr>
          <w:p w14:paraId="61BB352E">
            <w:pPr>
              <w:spacing w:line="380" w:lineRule="exact"/>
              <w:jc w:val="center"/>
              <w:rPr>
                <w:rFonts w:ascii="宋体" w:hAnsi="宋体" w:cs="宋体"/>
                <w:color w:val="auto"/>
                <w:sz w:val="22"/>
                <w:szCs w:val="22"/>
                <w:highlight w:val="none"/>
              </w:rPr>
            </w:pPr>
          </w:p>
        </w:tc>
        <w:tc>
          <w:tcPr>
            <w:tcW w:w="1863" w:type="dxa"/>
            <w:vAlign w:val="center"/>
          </w:tcPr>
          <w:p w14:paraId="535B16D6">
            <w:pPr>
              <w:spacing w:line="380" w:lineRule="exact"/>
              <w:jc w:val="center"/>
              <w:rPr>
                <w:rFonts w:ascii="宋体" w:hAnsi="宋体" w:cs="宋体"/>
                <w:color w:val="auto"/>
                <w:sz w:val="22"/>
                <w:szCs w:val="22"/>
                <w:highlight w:val="none"/>
              </w:rPr>
            </w:pPr>
          </w:p>
        </w:tc>
        <w:tc>
          <w:tcPr>
            <w:tcW w:w="1562" w:type="dxa"/>
            <w:vAlign w:val="center"/>
          </w:tcPr>
          <w:p w14:paraId="7AB16346">
            <w:pPr>
              <w:spacing w:line="380" w:lineRule="exact"/>
              <w:jc w:val="center"/>
              <w:rPr>
                <w:rFonts w:ascii="宋体" w:hAnsi="宋体" w:cs="宋体"/>
                <w:color w:val="auto"/>
                <w:sz w:val="22"/>
                <w:szCs w:val="22"/>
                <w:highlight w:val="none"/>
              </w:rPr>
            </w:pPr>
          </w:p>
        </w:tc>
      </w:tr>
      <w:tr w14:paraId="0680DB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69F98E4B">
            <w:pPr>
              <w:spacing w:line="380" w:lineRule="exact"/>
              <w:jc w:val="center"/>
              <w:rPr>
                <w:rFonts w:ascii="宋体" w:hAnsi="宋体" w:cs="宋体"/>
                <w:color w:val="auto"/>
                <w:sz w:val="22"/>
                <w:szCs w:val="22"/>
                <w:highlight w:val="none"/>
              </w:rPr>
            </w:pPr>
          </w:p>
        </w:tc>
        <w:tc>
          <w:tcPr>
            <w:tcW w:w="1358" w:type="dxa"/>
            <w:vAlign w:val="center"/>
          </w:tcPr>
          <w:p w14:paraId="02871993">
            <w:pPr>
              <w:spacing w:line="380" w:lineRule="exact"/>
              <w:jc w:val="center"/>
              <w:rPr>
                <w:rFonts w:ascii="宋体" w:hAnsi="宋体" w:cs="宋体"/>
                <w:color w:val="auto"/>
                <w:sz w:val="22"/>
                <w:szCs w:val="22"/>
                <w:highlight w:val="none"/>
              </w:rPr>
            </w:pPr>
          </w:p>
        </w:tc>
        <w:tc>
          <w:tcPr>
            <w:tcW w:w="1867" w:type="dxa"/>
            <w:vAlign w:val="center"/>
          </w:tcPr>
          <w:p w14:paraId="530011A6">
            <w:pPr>
              <w:spacing w:line="380" w:lineRule="exact"/>
              <w:jc w:val="center"/>
              <w:rPr>
                <w:rFonts w:ascii="宋体" w:hAnsi="宋体" w:cs="宋体"/>
                <w:color w:val="auto"/>
                <w:sz w:val="22"/>
                <w:szCs w:val="22"/>
                <w:highlight w:val="none"/>
              </w:rPr>
            </w:pPr>
          </w:p>
        </w:tc>
        <w:tc>
          <w:tcPr>
            <w:tcW w:w="1800" w:type="dxa"/>
            <w:vAlign w:val="center"/>
          </w:tcPr>
          <w:p w14:paraId="06AD7893">
            <w:pPr>
              <w:spacing w:line="380" w:lineRule="exact"/>
              <w:jc w:val="center"/>
              <w:rPr>
                <w:rFonts w:ascii="宋体" w:hAnsi="宋体" w:cs="宋体"/>
                <w:color w:val="auto"/>
                <w:sz w:val="22"/>
                <w:szCs w:val="22"/>
                <w:highlight w:val="none"/>
              </w:rPr>
            </w:pPr>
          </w:p>
        </w:tc>
        <w:tc>
          <w:tcPr>
            <w:tcW w:w="1863" w:type="dxa"/>
            <w:vAlign w:val="center"/>
          </w:tcPr>
          <w:p w14:paraId="734C4A97">
            <w:pPr>
              <w:spacing w:line="380" w:lineRule="exact"/>
              <w:jc w:val="center"/>
              <w:rPr>
                <w:rFonts w:ascii="宋体" w:hAnsi="宋体" w:cs="宋体"/>
                <w:color w:val="auto"/>
                <w:sz w:val="22"/>
                <w:szCs w:val="22"/>
                <w:highlight w:val="none"/>
              </w:rPr>
            </w:pPr>
          </w:p>
        </w:tc>
        <w:tc>
          <w:tcPr>
            <w:tcW w:w="1562" w:type="dxa"/>
            <w:vAlign w:val="center"/>
          </w:tcPr>
          <w:p w14:paraId="55FE5D17">
            <w:pPr>
              <w:spacing w:line="380" w:lineRule="exact"/>
              <w:jc w:val="center"/>
              <w:rPr>
                <w:rFonts w:ascii="宋体" w:hAnsi="宋体" w:cs="宋体"/>
                <w:color w:val="auto"/>
                <w:sz w:val="22"/>
                <w:szCs w:val="22"/>
                <w:highlight w:val="none"/>
              </w:rPr>
            </w:pPr>
          </w:p>
        </w:tc>
      </w:tr>
      <w:tr w14:paraId="3D9B10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17D1FDFF">
            <w:pPr>
              <w:spacing w:line="380" w:lineRule="exact"/>
              <w:jc w:val="center"/>
              <w:rPr>
                <w:rFonts w:ascii="宋体" w:hAnsi="宋体" w:cs="宋体"/>
                <w:color w:val="auto"/>
                <w:sz w:val="22"/>
                <w:szCs w:val="22"/>
                <w:highlight w:val="none"/>
              </w:rPr>
            </w:pPr>
          </w:p>
        </w:tc>
        <w:tc>
          <w:tcPr>
            <w:tcW w:w="1358" w:type="dxa"/>
            <w:vAlign w:val="center"/>
          </w:tcPr>
          <w:p w14:paraId="7002C234">
            <w:pPr>
              <w:spacing w:line="380" w:lineRule="exact"/>
              <w:jc w:val="center"/>
              <w:rPr>
                <w:rFonts w:ascii="宋体" w:hAnsi="宋体" w:cs="宋体"/>
                <w:color w:val="auto"/>
                <w:sz w:val="22"/>
                <w:szCs w:val="22"/>
                <w:highlight w:val="none"/>
              </w:rPr>
            </w:pPr>
          </w:p>
        </w:tc>
        <w:tc>
          <w:tcPr>
            <w:tcW w:w="1867" w:type="dxa"/>
            <w:vAlign w:val="center"/>
          </w:tcPr>
          <w:p w14:paraId="7E1DC428">
            <w:pPr>
              <w:spacing w:line="380" w:lineRule="exact"/>
              <w:jc w:val="center"/>
              <w:rPr>
                <w:rFonts w:ascii="宋体" w:hAnsi="宋体" w:cs="宋体"/>
                <w:color w:val="auto"/>
                <w:sz w:val="22"/>
                <w:szCs w:val="22"/>
                <w:highlight w:val="none"/>
              </w:rPr>
            </w:pPr>
          </w:p>
        </w:tc>
        <w:tc>
          <w:tcPr>
            <w:tcW w:w="1800" w:type="dxa"/>
            <w:vAlign w:val="center"/>
          </w:tcPr>
          <w:p w14:paraId="61D4607C">
            <w:pPr>
              <w:spacing w:line="380" w:lineRule="exact"/>
              <w:jc w:val="center"/>
              <w:rPr>
                <w:rFonts w:ascii="宋体" w:hAnsi="宋体" w:cs="宋体"/>
                <w:color w:val="auto"/>
                <w:sz w:val="22"/>
                <w:szCs w:val="22"/>
                <w:highlight w:val="none"/>
              </w:rPr>
            </w:pPr>
          </w:p>
        </w:tc>
        <w:tc>
          <w:tcPr>
            <w:tcW w:w="1863" w:type="dxa"/>
            <w:vAlign w:val="center"/>
          </w:tcPr>
          <w:p w14:paraId="5A11D134">
            <w:pPr>
              <w:spacing w:line="380" w:lineRule="exact"/>
              <w:jc w:val="center"/>
              <w:rPr>
                <w:rFonts w:ascii="宋体" w:hAnsi="宋体" w:cs="宋体"/>
                <w:color w:val="auto"/>
                <w:sz w:val="22"/>
                <w:szCs w:val="22"/>
                <w:highlight w:val="none"/>
              </w:rPr>
            </w:pPr>
          </w:p>
        </w:tc>
        <w:tc>
          <w:tcPr>
            <w:tcW w:w="1562" w:type="dxa"/>
            <w:vAlign w:val="center"/>
          </w:tcPr>
          <w:p w14:paraId="4D339116">
            <w:pPr>
              <w:spacing w:line="380" w:lineRule="exact"/>
              <w:jc w:val="center"/>
              <w:rPr>
                <w:rFonts w:ascii="宋体" w:hAnsi="宋体" w:cs="宋体"/>
                <w:color w:val="auto"/>
                <w:sz w:val="22"/>
                <w:szCs w:val="22"/>
                <w:highlight w:val="none"/>
              </w:rPr>
            </w:pPr>
          </w:p>
        </w:tc>
      </w:tr>
      <w:tr w14:paraId="34C65F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1678693C">
            <w:pPr>
              <w:spacing w:line="380" w:lineRule="exact"/>
              <w:jc w:val="center"/>
              <w:rPr>
                <w:rFonts w:ascii="宋体" w:hAnsi="宋体" w:cs="宋体"/>
                <w:color w:val="auto"/>
                <w:sz w:val="22"/>
                <w:szCs w:val="22"/>
                <w:highlight w:val="none"/>
              </w:rPr>
            </w:pPr>
          </w:p>
        </w:tc>
        <w:tc>
          <w:tcPr>
            <w:tcW w:w="1358" w:type="dxa"/>
            <w:vAlign w:val="center"/>
          </w:tcPr>
          <w:p w14:paraId="5A3FF817">
            <w:pPr>
              <w:spacing w:line="380" w:lineRule="exact"/>
              <w:jc w:val="center"/>
              <w:rPr>
                <w:rFonts w:ascii="宋体" w:hAnsi="宋体" w:cs="宋体"/>
                <w:color w:val="auto"/>
                <w:sz w:val="22"/>
                <w:szCs w:val="22"/>
                <w:highlight w:val="none"/>
              </w:rPr>
            </w:pPr>
          </w:p>
        </w:tc>
        <w:tc>
          <w:tcPr>
            <w:tcW w:w="1867" w:type="dxa"/>
            <w:vAlign w:val="center"/>
          </w:tcPr>
          <w:p w14:paraId="2E519842">
            <w:pPr>
              <w:spacing w:line="380" w:lineRule="exact"/>
              <w:jc w:val="center"/>
              <w:rPr>
                <w:rFonts w:ascii="宋体" w:hAnsi="宋体" w:cs="宋体"/>
                <w:color w:val="auto"/>
                <w:sz w:val="22"/>
                <w:szCs w:val="22"/>
                <w:highlight w:val="none"/>
              </w:rPr>
            </w:pPr>
          </w:p>
        </w:tc>
        <w:tc>
          <w:tcPr>
            <w:tcW w:w="1800" w:type="dxa"/>
            <w:vAlign w:val="center"/>
          </w:tcPr>
          <w:p w14:paraId="73C11595">
            <w:pPr>
              <w:spacing w:line="380" w:lineRule="exact"/>
              <w:jc w:val="center"/>
              <w:rPr>
                <w:rFonts w:ascii="宋体" w:hAnsi="宋体" w:cs="宋体"/>
                <w:color w:val="auto"/>
                <w:sz w:val="22"/>
                <w:szCs w:val="22"/>
                <w:highlight w:val="none"/>
              </w:rPr>
            </w:pPr>
          </w:p>
        </w:tc>
        <w:tc>
          <w:tcPr>
            <w:tcW w:w="1863" w:type="dxa"/>
            <w:vAlign w:val="center"/>
          </w:tcPr>
          <w:p w14:paraId="62CF7F9C">
            <w:pPr>
              <w:spacing w:line="380" w:lineRule="exact"/>
              <w:jc w:val="center"/>
              <w:rPr>
                <w:rFonts w:ascii="宋体" w:hAnsi="宋体" w:cs="宋体"/>
                <w:color w:val="auto"/>
                <w:sz w:val="22"/>
                <w:szCs w:val="22"/>
                <w:highlight w:val="none"/>
              </w:rPr>
            </w:pPr>
          </w:p>
        </w:tc>
        <w:tc>
          <w:tcPr>
            <w:tcW w:w="1562" w:type="dxa"/>
            <w:vAlign w:val="center"/>
          </w:tcPr>
          <w:p w14:paraId="4534316B">
            <w:pPr>
              <w:spacing w:line="380" w:lineRule="exact"/>
              <w:jc w:val="center"/>
              <w:rPr>
                <w:rFonts w:ascii="宋体" w:hAnsi="宋体" w:cs="宋体"/>
                <w:color w:val="auto"/>
                <w:sz w:val="22"/>
                <w:szCs w:val="22"/>
                <w:highlight w:val="none"/>
              </w:rPr>
            </w:pPr>
          </w:p>
        </w:tc>
      </w:tr>
      <w:tr w14:paraId="4AE759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5715A63E">
            <w:pPr>
              <w:spacing w:line="380" w:lineRule="exact"/>
              <w:jc w:val="center"/>
              <w:rPr>
                <w:rFonts w:ascii="宋体" w:hAnsi="宋体" w:cs="宋体"/>
                <w:color w:val="auto"/>
                <w:sz w:val="22"/>
                <w:szCs w:val="22"/>
                <w:highlight w:val="none"/>
              </w:rPr>
            </w:pPr>
          </w:p>
        </w:tc>
        <w:tc>
          <w:tcPr>
            <w:tcW w:w="1358" w:type="dxa"/>
            <w:vAlign w:val="center"/>
          </w:tcPr>
          <w:p w14:paraId="4F95D422">
            <w:pPr>
              <w:spacing w:line="380" w:lineRule="exact"/>
              <w:jc w:val="center"/>
              <w:rPr>
                <w:rFonts w:ascii="宋体" w:hAnsi="宋体" w:cs="宋体"/>
                <w:color w:val="auto"/>
                <w:sz w:val="22"/>
                <w:szCs w:val="22"/>
                <w:highlight w:val="none"/>
              </w:rPr>
            </w:pPr>
          </w:p>
        </w:tc>
        <w:tc>
          <w:tcPr>
            <w:tcW w:w="1867" w:type="dxa"/>
            <w:vAlign w:val="center"/>
          </w:tcPr>
          <w:p w14:paraId="0684B5EA">
            <w:pPr>
              <w:spacing w:line="380" w:lineRule="exact"/>
              <w:jc w:val="center"/>
              <w:rPr>
                <w:rFonts w:ascii="宋体" w:hAnsi="宋体" w:cs="宋体"/>
                <w:color w:val="auto"/>
                <w:sz w:val="22"/>
                <w:szCs w:val="22"/>
                <w:highlight w:val="none"/>
              </w:rPr>
            </w:pPr>
          </w:p>
        </w:tc>
        <w:tc>
          <w:tcPr>
            <w:tcW w:w="1800" w:type="dxa"/>
            <w:vAlign w:val="center"/>
          </w:tcPr>
          <w:p w14:paraId="7E25116A">
            <w:pPr>
              <w:spacing w:line="380" w:lineRule="exact"/>
              <w:jc w:val="center"/>
              <w:rPr>
                <w:rFonts w:ascii="宋体" w:hAnsi="宋体" w:cs="宋体"/>
                <w:color w:val="auto"/>
                <w:sz w:val="22"/>
                <w:szCs w:val="22"/>
                <w:highlight w:val="none"/>
              </w:rPr>
            </w:pPr>
          </w:p>
        </w:tc>
        <w:tc>
          <w:tcPr>
            <w:tcW w:w="1863" w:type="dxa"/>
            <w:vAlign w:val="center"/>
          </w:tcPr>
          <w:p w14:paraId="691A53F3">
            <w:pPr>
              <w:spacing w:line="380" w:lineRule="exact"/>
              <w:jc w:val="center"/>
              <w:rPr>
                <w:rFonts w:ascii="宋体" w:hAnsi="宋体" w:cs="宋体"/>
                <w:color w:val="auto"/>
                <w:sz w:val="22"/>
                <w:szCs w:val="22"/>
                <w:highlight w:val="none"/>
              </w:rPr>
            </w:pPr>
          </w:p>
        </w:tc>
        <w:tc>
          <w:tcPr>
            <w:tcW w:w="1562" w:type="dxa"/>
            <w:vAlign w:val="center"/>
          </w:tcPr>
          <w:p w14:paraId="669BDC7A">
            <w:pPr>
              <w:spacing w:line="380" w:lineRule="exact"/>
              <w:jc w:val="center"/>
              <w:rPr>
                <w:rFonts w:ascii="宋体" w:hAnsi="宋体" w:cs="宋体"/>
                <w:color w:val="auto"/>
                <w:sz w:val="22"/>
                <w:szCs w:val="22"/>
                <w:highlight w:val="none"/>
              </w:rPr>
            </w:pPr>
          </w:p>
        </w:tc>
      </w:tr>
    </w:tbl>
    <w:p w14:paraId="7EB02FAD">
      <w:pPr>
        <w:spacing w:line="440" w:lineRule="exact"/>
        <w:jc w:val="left"/>
        <w:rPr>
          <w:rFonts w:ascii="宋体" w:hAnsi="宋体" w:cs="宋体"/>
          <w:color w:val="auto"/>
          <w:sz w:val="22"/>
          <w:szCs w:val="22"/>
          <w:highlight w:val="none"/>
        </w:rPr>
      </w:pPr>
      <w:r>
        <w:rPr>
          <w:rFonts w:hint="eastAsia" w:ascii="宋体" w:hAnsi="宋体" w:cs="宋体"/>
          <w:b/>
          <w:color w:val="auto"/>
          <w:sz w:val="22"/>
          <w:szCs w:val="22"/>
          <w:highlight w:val="none"/>
          <w:u w:val="single"/>
        </w:rPr>
        <w:t>注：如投标文件含正偏离和负偏离，都应说明，如未填写视为无偏离。</w:t>
      </w:r>
    </w:p>
    <w:p w14:paraId="7CC31334">
      <w:pPr>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投标人全称（加盖单位公章）： </w:t>
      </w:r>
    </w:p>
    <w:p w14:paraId="1F187799">
      <w:pPr>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14:paraId="2A689CA7">
      <w:pPr>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5B78B905">
      <w:pPr>
        <w:snapToGrid w:val="0"/>
        <w:spacing w:before="156" w:beforeLines="50" w:after="50" w:line="360" w:lineRule="auto"/>
        <w:rPr>
          <w:rFonts w:ascii="宋体" w:hAnsi="宋体"/>
          <w:b/>
          <w:color w:val="auto"/>
          <w:sz w:val="28"/>
          <w:szCs w:val="28"/>
          <w:highlight w:val="none"/>
        </w:rPr>
      </w:pPr>
    </w:p>
    <w:p w14:paraId="129719CA">
      <w:pPr>
        <w:spacing w:line="360" w:lineRule="auto"/>
        <w:jc w:val="left"/>
        <w:outlineLvl w:val="3"/>
        <w:rPr>
          <w:rFonts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color w:val="auto"/>
          <w:sz w:val="28"/>
          <w:szCs w:val="32"/>
          <w:highlight w:val="none"/>
        </w:rPr>
        <w:t>附件十</w:t>
      </w:r>
    </w:p>
    <w:p w14:paraId="10C2BF4D">
      <w:pPr>
        <w:snapToGrid w:val="0"/>
        <w:spacing w:before="156" w:beforeLines="50" w:after="50" w:line="360" w:lineRule="auto"/>
        <w:jc w:val="center"/>
        <w:outlineLvl w:val="4"/>
        <w:rPr>
          <w:rFonts w:ascii="宋体" w:hAnsi="宋体"/>
          <w:b/>
          <w:color w:val="auto"/>
          <w:sz w:val="28"/>
          <w:szCs w:val="28"/>
          <w:highlight w:val="none"/>
        </w:rPr>
      </w:pPr>
      <w:r>
        <w:rPr>
          <w:rFonts w:hint="eastAsia" w:ascii="宋体" w:hAnsi="宋体"/>
          <w:b/>
          <w:color w:val="auto"/>
          <w:sz w:val="28"/>
          <w:szCs w:val="28"/>
          <w:highlight w:val="none"/>
        </w:rPr>
        <w:t>投标人基本情况表</w:t>
      </w:r>
    </w:p>
    <w:tbl>
      <w:tblPr>
        <w:tblStyle w:val="30"/>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353"/>
      </w:tblGrid>
      <w:tr w14:paraId="60EC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7EA01AEE">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投标人名称</w:t>
            </w:r>
          </w:p>
        </w:tc>
        <w:tc>
          <w:tcPr>
            <w:tcW w:w="7239" w:type="dxa"/>
            <w:gridSpan w:val="10"/>
            <w:vAlign w:val="center"/>
          </w:tcPr>
          <w:p w14:paraId="4E1ADC84">
            <w:pPr>
              <w:spacing w:line="360" w:lineRule="auto"/>
              <w:jc w:val="center"/>
              <w:rPr>
                <w:rFonts w:ascii="宋体" w:hAnsi="宋体"/>
                <w:color w:val="auto"/>
                <w:sz w:val="22"/>
                <w:szCs w:val="22"/>
                <w:highlight w:val="none"/>
              </w:rPr>
            </w:pPr>
          </w:p>
        </w:tc>
      </w:tr>
      <w:tr w14:paraId="1C85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7D63F859">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注册地址</w:t>
            </w:r>
          </w:p>
        </w:tc>
        <w:tc>
          <w:tcPr>
            <w:tcW w:w="3647" w:type="dxa"/>
            <w:gridSpan w:val="4"/>
            <w:vAlign w:val="center"/>
          </w:tcPr>
          <w:p w14:paraId="14520BDA">
            <w:pPr>
              <w:spacing w:line="360" w:lineRule="auto"/>
              <w:jc w:val="center"/>
              <w:rPr>
                <w:rFonts w:ascii="宋体" w:hAnsi="宋体"/>
                <w:color w:val="auto"/>
                <w:sz w:val="22"/>
                <w:szCs w:val="22"/>
                <w:highlight w:val="none"/>
              </w:rPr>
            </w:pPr>
          </w:p>
        </w:tc>
        <w:tc>
          <w:tcPr>
            <w:tcW w:w="1602" w:type="dxa"/>
            <w:gridSpan w:val="3"/>
            <w:vAlign w:val="center"/>
          </w:tcPr>
          <w:p w14:paraId="7FF2F40E">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邮政编码</w:t>
            </w:r>
          </w:p>
        </w:tc>
        <w:tc>
          <w:tcPr>
            <w:tcW w:w="1990" w:type="dxa"/>
            <w:gridSpan w:val="3"/>
            <w:vAlign w:val="center"/>
          </w:tcPr>
          <w:p w14:paraId="61670EAF">
            <w:pPr>
              <w:spacing w:line="360" w:lineRule="auto"/>
              <w:jc w:val="center"/>
              <w:rPr>
                <w:rFonts w:ascii="宋体" w:hAnsi="宋体"/>
                <w:color w:val="auto"/>
                <w:sz w:val="22"/>
                <w:szCs w:val="22"/>
                <w:highlight w:val="none"/>
              </w:rPr>
            </w:pPr>
          </w:p>
        </w:tc>
      </w:tr>
      <w:tr w14:paraId="4DDF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restart"/>
            <w:vAlign w:val="center"/>
          </w:tcPr>
          <w:p w14:paraId="0B5182FC">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联系方式</w:t>
            </w:r>
          </w:p>
        </w:tc>
        <w:tc>
          <w:tcPr>
            <w:tcW w:w="1283" w:type="dxa"/>
            <w:gridSpan w:val="2"/>
            <w:vAlign w:val="center"/>
          </w:tcPr>
          <w:p w14:paraId="4A21AFBD">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联系人</w:t>
            </w:r>
          </w:p>
        </w:tc>
        <w:tc>
          <w:tcPr>
            <w:tcW w:w="2364" w:type="dxa"/>
            <w:gridSpan w:val="2"/>
            <w:vAlign w:val="center"/>
          </w:tcPr>
          <w:p w14:paraId="68C1E0F0">
            <w:pPr>
              <w:spacing w:line="360" w:lineRule="auto"/>
              <w:jc w:val="center"/>
              <w:rPr>
                <w:rFonts w:ascii="宋体" w:hAnsi="宋体"/>
                <w:color w:val="auto"/>
                <w:sz w:val="22"/>
                <w:szCs w:val="22"/>
                <w:highlight w:val="none"/>
              </w:rPr>
            </w:pPr>
          </w:p>
        </w:tc>
        <w:tc>
          <w:tcPr>
            <w:tcW w:w="1602" w:type="dxa"/>
            <w:gridSpan w:val="3"/>
            <w:vAlign w:val="center"/>
          </w:tcPr>
          <w:p w14:paraId="15DEF85C">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电话</w:t>
            </w:r>
          </w:p>
        </w:tc>
        <w:tc>
          <w:tcPr>
            <w:tcW w:w="1990" w:type="dxa"/>
            <w:gridSpan w:val="3"/>
            <w:vAlign w:val="center"/>
          </w:tcPr>
          <w:p w14:paraId="5570085E">
            <w:pPr>
              <w:spacing w:line="360" w:lineRule="auto"/>
              <w:jc w:val="center"/>
              <w:rPr>
                <w:rFonts w:ascii="宋体" w:hAnsi="宋体"/>
                <w:color w:val="auto"/>
                <w:sz w:val="22"/>
                <w:szCs w:val="22"/>
                <w:highlight w:val="none"/>
              </w:rPr>
            </w:pPr>
          </w:p>
        </w:tc>
      </w:tr>
      <w:tr w14:paraId="1DDD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582A2E9A">
            <w:pPr>
              <w:spacing w:line="360" w:lineRule="auto"/>
              <w:jc w:val="center"/>
              <w:rPr>
                <w:rFonts w:ascii="宋体" w:hAnsi="宋体"/>
                <w:color w:val="auto"/>
                <w:sz w:val="22"/>
                <w:szCs w:val="22"/>
                <w:highlight w:val="none"/>
              </w:rPr>
            </w:pPr>
          </w:p>
        </w:tc>
        <w:tc>
          <w:tcPr>
            <w:tcW w:w="1283" w:type="dxa"/>
            <w:gridSpan w:val="2"/>
            <w:vAlign w:val="center"/>
          </w:tcPr>
          <w:p w14:paraId="000E6344">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传真</w:t>
            </w:r>
          </w:p>
        </w:tc>
        <w:tc>
          <w:tcPr>
            <w:tcW w:w="2364" w:type="dxa"/>
            <w:gridSpan w:val="2"/>
            <w:vAlign w:val="center"/>
          </w:tcPr>
          <w:p w14:paraId="6A64CFD6">
            <w:pPr>
              <w:spacing w:line="360" w:lineRule="auto"/>
              <w:jc w:val="center"/>
              <w:rPr>
                <w:rFonts w:ascii="宋体" w:hAnsi="宋体"/>
                <w:color w:val="auto"/>
                <w:sz w:val="22"/>
                <w:szCs w:val="22"/>
                <w:highlight w:val="none"/>
              </w:rPr>
            </w:pPr>
          </w:p>
        </w:tc>
        <w:tc>
          <w:tcPr>
            <w:tcW w:w="1602" w:type="dxa"/>
            <w:gridSpan w:val="3"/>
            <w:vAlign w:val="center"/>
          </w:tcPr>
          <w:p w14:paraId="0588AECB">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网址</w:t>
            </w:r>
          </w:p>
        </w:tc>
        <w:tc>
          <w:tcPr>
            <w:tcW w:w="1990" w:type="dxa"/>
            <w:gridSpan w:val="3"/>
            <w:vAlign w:val="center"/>
          </w:tcPr>
          <w:p w14:paraId="7888EA8F">
            <w:pPr>
              <w:spacing w:line="360" w:lineRule="auto"/>
              <w:jc w:val="center"/>
              <w:rPr>
                <w:rFonts w:ascii="宋体" w:hAnsi="宋体"/>
                <w:color w:val="auto"/>
                <w:sz w:val="22"/>
                <w:szCs w:val="22"/>
                <w:highlight w:val="none"/>
              </w:rPr>
            </w:pPr>
          </w:p>
        </w:tc>
      </w:tr>
      <w:tr w14:paraId="331F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50DFA78E">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组织结构</w:t>
            </w:r>
          </w:p>
        </w:tc>
        <w:tc>
          <w:tcPr>
            <w:tcW w:w="7239" w:type="dxa"/>
            <w:gridSpan w:val="10"/>
            <w:vAlign w:val="center"/>
          </w:tcPr>
          <w:p w14:paraId="1F339A36">
            <w:pPr>
              <w:spacing w:line="360" w:lineRule="auto"/>
              <w:jc w:val="center"/>
              <w:rPr>
                <w:rFonts w:ascii="宋体" w:hAnsi="宋体"/>
                <w:color w:val="auto"/>
                <w:sz w:val="22"/>
                <w:szCs w:val="22"/>
                <w:highlight w:val="none"/>
              </w:rPr>
            </w:pPr>
          </w:p>
        </w:tc>
      </w:tr>
      <w:tr w14:paraId="428C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1A782BEB">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法定代表人</w:t>
            </w:r>
          </w:p>
        </w:tc>
        <w:tc>
          <w:tcPr>
            <w:tcW w:w="974" w:type="dxa"/>
            <w:vAlign w:val="center"/>
          </w:tcPr>
          <w:p w14:paraId="7B6C3144">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姓名</w:t>
            </w:r>
          </w:p>
        </w:tc>
        <w:tc>
          <w:tcPr>
            <w:tcW w:w="1661" w:type="dxa"/>
            <w:gridSpan w:val="2"/>
            <w:vAlign w:val="center"/>
          </w:tcPr>
          <w:p w14:paraId="51DE2D80">
            <w:pPr>
              <w:spacing w:line="360" w:lineRule="auto"/>
              <w:jc w:val="center"/>
              <w:rPr>
                <w:rFonts w:ascii="宋体" w:hAnsi="宋体"/>
                <w:color w:val="auto"/>
                <w:sz w:val="22"/>
                <w:szCs w:val="22"/>
                <w:highlight w:val="none"/>
              </w:rPr>
            </w:pPr>
          </w:p>
        </w:tc>
        <w:tc>
          <w:tcPr>
            <w:tcW w:w="1361" w:type="dxa"/>
            <w:gridSpan w:val="2"/>
            <w:vAlign w:val="center"/>
          </w:tcPr>
          <w:p w14:paraId="348EFCC9">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技术职称</w:t>
            </w:r>
          </w:p>
        </w:tc>
        <w:tc>
          <w:tcPr>
            <w:tcW w:w="1074" w:type="dxa"/>
            <w:vAlign w:val="center"/>
          </w:tcPr>
          <w:p w14:paraId="5DF285B3">
            <w:pPr>
              <w:spacing w:line="360" w:lineRule="auto"/>
              <w:jc w:val="center"/>
              <w:rPr>
                <w:rFonts w:ascii="宋体" w:hAnsi="宋体"/>
                <w:color w:val="auto"/>
                <w:sz w:val="22"/>
                <w:szCs w:val="22"/>
                <w:highlight w:val="none"/>
              </w:rPr>
            </w:pPr>
          </w:p>
        </w:tc>
        <w:tc>
          <w:tcPr>
            <w:tcW w:w="816" w:type="dxa"/>
            <w:gridSpan w:val="3"/>
            <w:vAlign w:val="center"/>
          </w:tcPr>
          <w:p w14:paraId="46A37C18">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电话</w:t>
            </w:r>
          </w:p>
        </w:tc>
        <w:tc>
          <w:tcPr>
            <w:tcW w:w="1353" w:type="dxa"/>
            <w:vAlign w:val="center"/>
          </w:tcPr>
          <w:p w14:paraId="5133B630">
            <w:pPr>
              <w:spacing w:line="360" w:lineRule="auto"/>
              <w:jc w:val="center"/>
              <w:rPr>
                <w:rFonts w:ascii="宋体" w:hAnsi="宋体"/>
                <w:color w:val="auto"/>
                <w:sz w:val="22"/>
                <w:szCs w:val="22"/>
                <w:highlight w:val="none"/>
              </w:rPr>
            </w:pPr>
          </w:p>
        </w:tc>
      </w:tr>
      <w:tr w14:paraId="2DF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230FFF12">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技术负责人</w:t>
            </w:r>
          </w:p>
        </w:tc>
        <w:tc>
          <w:tcPr>
            <w:tcW w:w="974" w:type="dxa"/>
            <w:vAlign w:val="center"/>
          </w:tcPr>
          <w:p w14:paraId="3FFA7A2F">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姓名</w:t>
            </w:r>
          </w:p>
        </w:tc>
        <w:tc>
          <w:tcPr>
            <w:tcW w:w="1661" w:type="dxa"/>
            <w:gridSpan w:val="2"/>
            <w:vAlign w:val="center"/>
          </w:tcPr>
          <w:p w14:paraId="1A50AD61">
            <w:pPr>
              <w:spacing w:line="360" w:lineRule="auto"/>
              <w:jc w:val="center"/>
              <w:rPr>
                <w:rFonts w:ascii="宋体" w:hAnsi="宋体"/>
                <w:color w:val="auto"/>
                <w:sz w:val="22"/>
                <w:szCs w:val="22"/>
                <w:highlight w:val="none"/>
              </w:rPr>
            </w:pPr>
          </w:p>
        </w:tc>
        <w:tc>
          <w:tcPr>
            <w:tcW w:w="1361" w:type="dxa"/>
            <w:gridSpan w:val="2"/>
            <w:vAlign w:val="center"/>
          </w:tcPr>
          <w:p w14:paraId="13CB7725">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技术职称</w:t>
            </w:r>
          </w:p>
        </w:tc>
        <w:tc>
          <w:tcPr>
            <w:tcW w:w="1074" w:type="dxa"/>
            <w:vAlign w:val="center"/>
          </w:tcPr>
          <w:p w14:paraId="70531DE4">
            <w:pPr>
              <w:spacing w:line="360" w:lineRule="auto"/>
              <w:jc w:val="center"/>
              <w:rPr>
                <w:rFonts w:ascii="宋体" w:hAnsi="宋体"/>
                <w:color w:val="auto"/>
                <w:sz w:val="22"/>
                <w:szCs w:val="22"/>
                <w:highlight w:val="none"/>
              </w:rPr>
            </w:pPr>
          </w:p>
        </w:tc>
        <w:tc>
          <w:tcPr>
            <w:tcW w:w="816" w:type="dxa"/>
            <w:gridSpan w:val="3"/>
            <w:vAlign w:val="center"/>
          </w:tcPr>
          <w:p w14:paraId="67502B59">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电话</w:t>
            </w:r>
          </w:p>
        </w:tc>
        <w:tc>
          <w:tcPr>
            <w:tcW w:w="1353" w:type="dxa"/>
            <w:vAlign w:val="center"/>
          </w:tcPr>
          <w:p w14:paraId="13F121A3">
            <w:pPr>
              <w:spacing w:line="360" w:lineRule="auto"/>
              <w:jc w:val="center"/>
              <w:rPr>
                <w:rFonts w:ascii="宋体" w:hAnsi="宋体"/>
                <w:color w:val="auto"/>
                <w:sz w:val="22"/>
                <w:szCs w:val="22"/>
                <w:highlight w:val="none"/>
              </w:rPr>
            </w:pPr>
          </w:p>
        </w:tc>
      </w:tr>
      <w:tr w14:paraId="4531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67D153CE">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成立时间</w:t>
            </w:r>
          </w:p>
        </w:tc>
        <w:tc>
          <w:tcPr>
            <w:tcW w:w="2635" w:type="dxa"/>
            <w:gridSpan w:val="3"/>
            <w:vAlign w:val="center"/>
          </w:tcPr>
          <w:p w14:paraId="43CC7083">
            <w:pPr>
              <w:spacing w:line="360" w:lineRule="auto"/>
              <w:jc w:val="center"/>
              <w:rPr>
                <w:rFonts w:ascii="宋体" w:hAnsi="宋体"/>
                <w:color w:val="auto"/>
                <w:sz w:val="22"/>
                <w:szCs w:val="22"/>
                <w:highlight w:val="none"/>
              </w:rPr>
            </w:pPr>
          </w:p>
        </w:tc>
        <w:tc>
          <w:tcPr>
            <w:tcW w:w="4604" w:type="dxa"/>
            <w:gridSpan w:val="7"/>
            <w:vAlign w:val="center"/>
          </w:tcPr>
          <w:p w14:paraId="0A8BDA01">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员工总人数：</w:t>
            </w:r>
          </w:p>
        </w:tc>
      </w:tr>
      <w:tr w14:paraId="752D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53447B5">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企业资质等级</w:t>
            </w:r>
          </w:p>
        </w:tc>
        <w:tc>
          <w:tcPr>
            <w:tcW w:w="2635" w:type="dxa"/>
            <w:gridSpan w:val="3"/>
            <w:vAlign w:val="center"/>
          </w:tcPr>
          <w:p w14:paraId="6CA16FF5">
            <w:pPr>
              <w:spacing w:line="360" w:lineRule="auto"/>
              <w:jc w:val="center"/>
              <w:rPr>
                <w:rFonts w:ascii="宋体" w:hAnsi="宋体"/>
                <w:color w:val="auto"/>
                <w:sz w:val="22"/>
                <w:szCs w:val="22"/>
                <w:highlight w:val="none"/>
              </w:rPr>
            </w:pPr>
          </w:p>
        </w:tc>
        <w:tc>
          <w:tcPr>
            <w:tcW w:w="1012" w:type="dxa"/>
            <w:vMerge w:val="restart"/>
            <w:vAlign w:val="center"/>
          </w:tcPr>
          <w:p w14:paraId="110FFA00">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其中</w:t>
            </w:r>
          </w:p>
        </w:tc>
        <w:tc>
          <w:tcPr>
            <w:tcW w:w="1954" w:type="dxa"/>
            <w:gridSpan w:val="4"/>
            <w:vAlign w:val="center"/>
          </w:tcPr>
          <w:p w14:paraId="219DFC58">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高级职称人员</w:t>
            </w:r>
          </w:p>
        </w:tc>
        <w:tc>
          <w:tcPr>
            <w:tcW w:w="1638" w:type="dxa"/>
            <w:gridSpan w:val="2"/>
            <w:vAlign w:val="center"/>
          </w:tcPr>
          <w:p w14:paraId="3BA347FD">
            <w:pPr>
              <w:spacing w:line="360" w:lineRule="auto"/>
              <w:jc w:val="center"/>
              <w:rPr>
                <w:rFonts w:ascii="宋体" w:hAnsi="宋体"/>
                <w:color w:val="auto"/>
                <w:sz w:val="22"/>
                <w:szCs w:val="22"/>
                <w:highlight w:val="none"/>
              </w:rPr>
            </w:pPr>
          </w:p>
        </w:tc>
      </w:tr>
      <w:tr w14:paraId="2D3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7C2D0486">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营业执照号</w:t>
            </w:r>
          </w:p>
        </w:tc>
        <w:tc>
          <w:tcPr>
            <w:tcW w:w="2635" w:type="dxa"/>
            <w:gridSpan w:val="3"/>
            <w:vAlign w:val="center"/>
          </w:tcPr>
          <w:p w14:paraId="56351B57">
            <w:pPr>
              <w:spacing w:line="360" w:lineRule="auto"/>
              <w:jc w:val="center"/>
              <w:rPr>
                <w:rFonts w:ascii="宋体" w:hAnsi="宋体"/>
                <w:color w:val="auto"/>
                <w:sz w:val="22"/>
                <w:szCs w:val="22"/>
                <w:highlight w:val="none"/>
              </w:rPr>
            </w:pPr>
          </w:p>
        </w:tc>
        <w:tc>
          <w:tcPr>
            <w:tcW w:w="1012" w:type="dxa"/>
            <w:vMerge w:val="continue"/>
            <w:vAlign w:val="center"/>
          </w:tcPr>
          <w:p w14:paraId="7BEEFAD9">
            <w:pPr>
              <w:spacing w:line="360" w:lineRule="auto"/>
              <w:jc w:val="center"/>
              <w:rPr>
                <w:rFonts w:ascii="宋体" w:hAnsi="宋体"/>
                <w:color w:val="auto"/>
                <w:sz w:val="22"/>
                <w:szCs w:val="22"/>
                <w:highlight w:val="none"/>
              </w:rPr>
            </w:pPr>
          </w:p>
        </w:tc>
        <w:tc>
          <w:tcPr>
            <w:tcW w:w="1954" w:type="dxa"/>
            <w:gridSpan w:val="4"/>
            <w:vAlign w:val="center"/>
          </w:tcPr>
          <w:p w14:paraId="016447ED">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中级职称人员</w:t>
            </w:r>
          </w:p>
        </w:tc>
        <w:tc>
          <w:tcPr>
            <w:tcW w:w="1638" w:type="dxa"/>
            <w:gridSpan w:val="2"/>
            <w:vAlign w:val="center"/>
          </w:tcPr>
          <w:p w14:paraId="653FB8BB">
            <w:pPr>
              <w:spacing w:line="360" w:lineRule="auto"/>
              <w:jc w:val="center"/>
              <w:rPr>
                <w:rFonts w:ascii="宋体" w:hAnsi="宋体"/>
                <w:color w:val="auto"/>
                <w:sz w:val="22"/>
                <w:szCs w:val="22"/>
                <w:highlight w:val="none"/>
              </w:rPr>
            </w:pPr>
          </w:p>
        </w:tc>
      </w:tr>
      <w:tr w14:paraId="78BA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593E5E71">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注册资金</w:t>
            </w:r>
          </w:p>
        </w:tc>
        <w:tc>
          <w:tcPr>
            <w:tcW w:w="2635" w:type="dxa"/>
            <w:gridSpan w:val="3"/>
            <w:vAlign w:val="center"/>
          </w:tcPr>
          <w:p w14:paraId="1B479747">
            <w:pPr>
              <w:spacing w:line="360" w:lineRule="auto"/>
              <w:jc w:val="center"/>
              <w:rPr>
                <w:rFonts w:ascii="宋体" w:hAnsi="宋体"/>
                <w:color w:val="auto"/>
                <w:sz w:val="22"/>
                <w:szCs w:val="22"/>
                <w:highlight w:val="none"/>
              </w:rPr>
            </w:pPr>
          </w:p>
        </w:tc>
        <w:tc>
          <w:tcPr>
            <w:tcW w:w="1012" w:type="dxa"/>
            <w:vMerge w:val="continue"/>
            <w:vAlign w:val="center"/>
          </w:tcPr>
          <w:p w14:paraId="56F70767">
            <w:pPr>
              <w:spacing w:line="360" w:lineRule="auto"/>
              <w:jc w:val="center"/>
              <w:rPr>
                <w:rFonts w:ascii="宋体" w:hAnsi="宋体"/>
                <w:color w:val="auto"/>
                <w:sz w:val="22"/>
                <w:szCs w:val="22"/>
                <w:highlight w:val="none"/>
              </w:rPr>
            </w:pPr>
          </w:p>
        </w:tc>
        <w:tc>
          <w:tcPr>
            <w:tcW w:w="1954" w:type="dxa"/>
            <w:gridSpan w:val="4"/>
            <w:vAlign w:val="center"/>
          </w:tcPr>
          <w:p w14:paraId="24316ABF">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初级职称人员</w:t>
            </w:r>
          </w:p>
        </w:tc>
        <w:tc>
          <w:tcPr>
            <w:tcW w:w="1638" w:type="dxa"/>
            <w:gridSpan w:val="2"/>
            <w:vAlign w:val="center"/>
          </w:tcPr>
          <w:p w14:paraId="3C24BDA7">
            <w:pPr>
              <w:spacing w:line="360" w:lineRule="auto"/>
              <w:jc w:val="center"/>
              <w:rPr>
                <w:rFonts w:ascii="宋体" w:hAnsi="宋体"/>
                <w:color w:val="auto"/>
                <w:sz w:val="22"/>
                <w:szCs w:val="22"/>
                <w:highlight w:val="none"/>
              </w:rPr>
            </w:pPr>
          </w:p>
        </w:tc>
      </w:tr>
      <w:tr w14:paraId="7A1A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D85E6FD">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开户银行</w:t>
            </w:r>
          </w:p>
        </w:tc>
        <w:tc>
          <w:tcPr>
            <w:tcW w:w="2635" w:type="dxa"/>
            <w:gridSpan w:val="3"/>
            <w:vAlign w:val="center"/>
          </w:tcPr>
          <w:p w14:paraId="572F0195">
            <w:pPr>
              <w:spacing w:line="360" w:lineRule="auto"/>
              <w:jc w:val="center"/>
              <w:rPr>
                <w:rFonts w:ascii="宋体" w:hAnsi="宋体"/>
                <w:color w:val="auto"/>
                <w:sz w:val="22"/>
                <w:szCs w:val="22"/>
                <w:highlight w:val="none"/>
              </w:rPr>
            </w:pPr>
          </w:p>
        </w:tc>
        <w:tc>
          <w:tcPr>
            <w:tcW w:w="1012" w:type="dxa"/>
            <w:vMerge w:val="continue"/>
            <w:vAlign w:val="center"/>
          </w:tcPr>
          <w:p w14:paraId="0E607B1C">
            <w:pPr>
              <w:spacing w:line="360" w:lineRule="auto"/>
              <w:jc w:val="center"/>
              <w:rPr>
                <w:rFonts w:ascii="宋体" w:hAnsi="宋体"/>
                <w:color w:val="auto"/>
                <w:sz w:val="22"/>
                <w:szCs w:val="22"/>
                <w:highlight w:val="none"/>
              </w:rPr>
            </w:pPr>
          </w:p>
        </w:tc>
        <w:tc>
          <w:tcPr>
            <w:tcW w:w="1954" w:type="dxa"/>
            <w:gridSpan w:val="4"/>
            <w:vAlign w:val="center"/>
          </w:tcPr>
          <w:p w14:paraId="0F0DED5D">
            <w:pPr>
              <w:spacing w:line="360" w:lineRule="auto"/>
              <w:jc w:val="center"/>
              <w:rPr>
                <w:rFonts w:ascii="宋体" w:hAnsi="宋体"/>
                <w:color w:val="auto"/>
                <w:sz w:val="22"/>
                <w:szCs w:val="22"/>
                <w:highlight w:val="none"/>
              </w:rPr>
            </w:pPr>
          </w:p>
        </w:tc>
        <w:tc>
          <w:tcPr>
            <w:tcW w:w="1638" w:type="dxa"/>
            <w:gridSpan w:val="2"/>
            <w:vAlign w:val="center"/>
          </w:tcPr>
          <w:p w14:paraId="5E809DA9">
            <w:pPr>
              <w:spacing w:line="360" w:lineRule="auto"/>
              <w:jc w:val="center"/>
              <w:rPr>
                <w:rFonts w:ascii="宋体" w:hAnsi="宋体"/>
                <w:color w:val="auto"/>
                <w:sz w:val="22"/>
                <w:szCs w:val="22"/>
                <w:highlight w:val="none"/>
              </w:rPr>
            </w:pPr>
          </w:p>
        </w:tc>
      </w:tr>
      <w:tr w14:paraId="5B02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7D85CDEB">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账号</w:t>
            </w:r>
          </w:p>
        </w:tc>
        <w:tc>
          <w:tcPr>
            <w:tcW w:w="2635" w:type="dxa"/>
            <w:gridSpan w:val="3"/>
            <w:vAlign w:val="center"/>
          </w:tcPr>
          <w:p w14:paraId="06B0380D">
            <w:pPr>
              <w:spacing w:line="360" w:lineRule="auto"/>
              <w:jc w:val="center"/>
              <w:rPr>
                <w:rFonts w:ascii="宋体" w:hAnsi="宋体"/>
                <w:color w:val="auto"/>
                <w:sz w:val="22"/>
                <w:szCs w:val="22"/>
                <w:highlight w:val="none"/>
              </w:rPr>
            </w:pPr>
          </w:p>
        </w:tc>
        <w:tc>
          <w:tcPr>
            <w:tcW w:w="1012" w:type="dxa"/>
            <w:vMerge w:val="continue"/>
            <w:vAlign w:val="center"/>
          </w:tcPr>
          <w:p w14:paraId="72CEEE77">
            <w:pPr>
              <w:spacing w:line="360" w:lineRule="auto"/>
              <w:jc w:val="center"/>
              <w:rPr>
                <w:rFonts w:ascii="宋体" w:hAnsi="宋体"/>
                <w:color w:val="auto"/>
                <w:sz w:val="22"/>
                <w:szCs w:val="22"/>
                <w:highlight w:val="none"/>
              </w:rPr>
            </w:pPr>
          </w:p>
        </w:tc>
        <w:tc>
          <w:tcPr>
            <w:tcW w:w="1954" w:type="dxa"/>
            <w:gridSpan w:val="4"/>
            <w:vAlign w:val="center"/>
          </w:tcPr>
          <w:p w14:paraId="70F4D602">
            <w:pPr>
              <w:spacing w:line="360" w:lineRule="auto"/>
              <w:jc w:val="center"/>
              <w:rPr>
                <w:rFonts w:ascii="宋体" w:hAnsi="宋体"/>
                <w:color w:val="auto"/>
                <w:sz w:val="22"/>
                <w:szCs w:val="22"/>
                <w:highlight w:val="none"/>
              </w:rPr>
            </w:pPr>
          </w:p>
        </w:tc>
        <w:tc>
          <w:tcPr>
            <w:tcW w:w="1638" w:type="dxa"/>
            <w:gridSpan w:val="2"/>
            <w:vAlign w:val="center"/>
          </w:tcPr>
          <w:p w14:paraId="152625E0">
            <w:pPr>
              <w:spacing w:line="360" w:lineRule="auto"/>
              <w:jc w:val="center"/>
              <w:rPr>
                <w:rFonts w:ascii="宋体" w:hAnsi="宋体"/>
                <w:color w:val="auto"/>
                <w:sz w:val="22"/>
                <w:szCs w:val="22"/>
                <w:highlight w:val="none"/>
              </w:rPr>
            </w:pPr>
          </w:p>
        </w:tc>
      </w:tr>
      <w:tr w14:paraId="2E48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771" w:type="dxa"/>
            <w:vAlign w:val="center"/>
          </w:tcPr>
          <w:p w14:paraId="624009D0">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经营范围</w:t>
            </w:r>
          </w:p>
        </w:tc>
        <w:tc>
          <w:tcPr>
            <w:tcW w:w="7239" w:type="dxa"/>
            <w:gridSpan w:val="10"/>
            <w:vAlign w:val="center"/>
          </w:tcPr>
          <w:p w14:paraId="77278EB8">
            <w:pPr>
              <w:spacing w:line="360" w:lineRule="auto"/>
              <w:jc w:val="center"/>
              <w:rPr>
                <w:rFonts w:ascii="宋体" w:hAnsi="宋体"/>
                <w:color w:val="auto"/>
                <w:sz w:val="22"/>
                <w:szCs w:val="22"/>
                <w:highlight w:val="none"/>
              </w:rPr>
            </w:pPr>
          </w:p>
        </w:tc>
      </w:tr>
      <w:tr w14:paraId="31BD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771" w:type="dxa"/>
            <w:vAlign w:val="center"/>
          </w:tcPr>
          <w:p w14:paraId="23352846">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财务状况</w:t>
            </w:r>
          </w:p>
        </w:tc>
        <w:tc>
          <w:tcPr>
            <w:tcW w:w="7239" w:type="dxa"/>
            <w:gridSpan w:val="10"/>
            <w:vAlign w:val="center"/>
          </w:tcPr>
          <w:p w14:paraId="0433FFEA">
            <w:pPr>
              <w:spacing w:line="360" w:lineRule="exact"/>
              <w:ind w:firstLine="462" w:firstLineChars="210"/>
              <w:jc w:val="center"/>
              <w:rPr>
                <w:rFonts w:ascii="宋体" w:hAnsi="宋体"/>
                <w:color w:val="auto"/>
                <w:sz w:val="22"/>
                <w:szCs w:val="22"/>
                <w:highlight w:val="none"/>
              </w:rPr>
            </w:pPr>
          </w:p>
        </w:tc>
      </w:tr>
      <w:tr w14:paraId="76A5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771" w:type="dxa"/>
            <w:vAlign w:val="center"/>
          </w:tcPr>
          <w:p w14:paraId="53696278">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备注</w:t>
            </w:r>
          </w:p>
        </w:tc>
        <w:tc>
          <w:tcPr>
            <w:tcW w:w="7239" w:type="dxa"/>
            <w:gridSpan w:val="10"/>
            <w:vAlign w:val="center"/>
          </w:tcPr>
          <w:p w14:paraId="22EBCF00">
            <w:pPr>
              <w:spacing w:line="360" w:lineRule="auto"/>
              <w:jc w:val="center"/>
              <w:rPr>
                <w:rFonts w:ascii="宋体" w:hAnsi="宋体"/>
                <w:color w:val="auto"/>
                <w:sz w:val="22"/>
                <w:szCs w:val="22"/>
                <w:highlight w:val="none"/>
              </w:rPr>
            </w:pPr>
          </w:p>
        </w:tc>
      </w:tr>
    </w:tbl>
    <w:p w14:paraId="0781C0A7">
      <w:pPr>
        <w:snapToGrid w:val="0"/>
        <w:spacing w:before="156" w:beforeLines="50" w:after="50" w:line="360" w:lineRule="auto"/>
        <w:rPr>
          <w:rFonts w:ascii="宋体" w:hAnsi="宋体"/>
          <w:color w:val="auto"/>
          <w:sz w:val="28"/>
          <w:szCs w:val="28"/>
          <w:highlight w:val="none"/>
        </w:rPr>
      </w:pPr>
    </w:p>
    <w:p w14:paraId="3EEC69B5">
      <w:pPr>
        <w:spacing w:line="360" w:lineRule="auto"/>
        <w:jc w:val="left"/>
        <w:outlineLvl w:val="3"/>
        <w:rPr>
          <w:rFonts w:ascii="宋体" w:hAnsi="宋体"/>
          <w:color w:val="auto"/>
          <w:sz w:val="24"/>
          <w:szCs w:val="28"/>
          <w:highlight w:val="none"/>
        </w:rPr>
      </w:pPr>
      <w:r>
        <w:rPr>
          <w:rFonts w:hint="eastAsia" w:ascii="宋体" w:hAnsi="宋体"/>
          <w:color w:val="auto"/>
          <w:sz w:val="28"/>
          <w:szCs w:val="28"/>
          <w:highlight w:val="none"/>
        </w:rPr>
        <w:br w:type="page"/>
      </w:r>
      <w:r>
        <w:rPr>
          <w:rFonts w:hint="eastAsia" w:ascii="宋体" w:hAnsi="宋体"/>
          <w:color w:val="auto"/>
          <w:sz w:val="28"/>
          <w:szCs w:val="32"/>
          <w:highlight w:val="none"/>
        </w:rPr>
        <w:t>附件十一-1</w:t>
      </w:r>
    </w:p>
    <w:p w14:paraId="2B2682A6">
      <w:pPr>
        <w:snapToGrid w:val="0"/>
        <w:spacing w:before="156" w:beforeLines="50" w:after="50" w:line="360" w:lineRule="auto"/>
        <w:jc w:val="center"/>
        <w:outlineLvl w:val="4"/>
        <w:rPr>
          <w:rFonts w:ascii="宋体" w:hAnsi="宋体"/>
          <w:b/>
          <w:bCs/>
          <w:color w:val="auto"/>
          <w:kern w:val="0"/>
          <w:sz w:val="28"/>
          <w:szCs w:val="28"/>
          <w:highlight w:val="none"/>
        </w:rPr>
      </w:pPr>
      <w:r>
        <w:rPr>
          <w:rFonts w:hint="eastAsia" w:ascii="宋体" w:hAnsi="宋体"/>
          <w:b/>
          <w:bCs/>
          <w:color w:val="auto"/>
          <w:kern w:val="0"/>
          <w:sz w:val="28"/>
          <w:szCs w:val="28"/>
          <w:highlight w:val="none"/>
          <w:lang w:val="en-US" w:eastAsia="zh-CN"/>
        </w:rPr>
        <w:t>企业</w:t>
      </w:r>
      <w:r>
        <w:rPr>
          <w:rFonts w:hint="eastAsia" w:ascii="宋体" w:hAnsi="宋体"/>
          <w:b/>
          <w:bCs/>
          <w:color w:val="auto"/>
          <w:kern w:val="0"/>
          <w:sz w:val="28"/>
          <w:szCs w:val="28"/>
          <w:highlight w:val="none"/>
        </w:rPr>
        <w:t xml:space="preserve">业绩一览表 </w:t>
      </w:r>
    </w:p>
    <w:tbl>
      <w:tblPr>
        <w:tblStyle w:val="30"/>
        <w:tblW w:w="8505" w:type="dxa"/>
        <w:tblInd w:w="13" w:type="dxa"/>
        <w:tblLayout w:type="fixed"/>
        <w:tblCellMar>
          <w:top w:w="0" w:type="dxa"/>
          <w:left w:w="0" w:type="dxa"/>
          <w:bottom w:w="0" w:type="dxa"/>
          <w:right w:w="0" w:type="dxa"/>
        </w:tblCellMar>
      </w:tblPr>
      <w:tblGrid>
        <w:gridCol w:w="688"/>
        <w:gridCol w:w="1279"/>
        <w:gridCol w:w="1313"/>
        <w:gridCol w:w="1200"/>
        <w:gridCol w:w="1137"/>
        <w:gridCol w:w="1525"/>
        <w:gridCol w:w="1363"/>
      </w:tblGrid>
      <w:tr w14:paraId="20AA2527">
        <w:tblPrEx>
          <w:tblCellMar>
            <w:top w:w="0" w:type="dxa"/>
            <w:left w:w="0" w:type="dxa"/>
            <w:bottom w:w="0" w:type="dxa"/>
            <w:right w:w="0" w:type="dxa"/>
          </w:tblCellMar>
        </w:tblPrEx>
        <w:trPr>
          <w:trHeight w:val="718" w:hRule="exact"/>
        </w:trPr>
        <w:tc>
          <w:tcPr>
            <w:tcW w:w="688" w:type="dxa"/>
            <w:tcBorders>
              <w:top w:val="single" w:color="000000" w:sz="10" w:space="0"/>
              <w:left w:val="single" w:color="000000" w:sz="10" w:space="0"/>
              <w:bottom w:val="single" w:color="000000" w:sz="4" w:space="0"/>
              <w:right w:val="single" w:color="000000" w:sz="4" w:space="0"/>
            </w:tcBorders>
            <w:vAlign w:val="center"/>
          </w:tcPr>
          <w:p w14:paraId="2AB4AA86">
            <w:pPr>
              <w:pStyle w:val="72"/>
              <w:kinsoku w:val="0"/>
              <w:overflowPunct w:val="0"/>
              <w:jc w:val="center"/>
              <w:rPr>
                <w:rFonts w:ascii="宋体" w:hAnsi="宋体"/>
                <w:color w:val="auto"/>
                <w:sz w:val="22"/>
                <w:szCs w:val="22"/>
                <w:highlight w:val="none"/>
              </w:rPr>
            </w:pPr>
            <w:r>
              <w:rPr>
                <w:rFonts w:hint="eastAsia" w:ascii="宋体" w:hAnsi="宋体" w:cs="宋体"/>
                <w:color w:val="auto"/>
                <w:sz w:val="22"/>
                <w:szCs w:val="22"/>
                <w:highlight w:val="none"/>
              </w:rPr>
              <w:t>序</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号</w:t>
            </w:r>
          </w:p>
        </w:tc>
        <w:tc>
          <w:tcPr>
            <w:tcW w:w="1279" w:type="dxa"/>
            <w:tcBorders>
              <w:top w:val="single" w:color="000000" w:sz="10" w:space="0"/>
              <w:left w:val="single" w:color="000000" w:sz="4" w:space="0"/>
              <w:bottom w:val="single" w:color="000000" w:sz="4" w:space="0"/>
              <w:right w:val="single" w:color="000000" w:sz="4" w:space="0"/>
            </w:tcBorders>
            <w:vAlign w:val="center"/>
          </w:tcPr>
          <w:p w14:paraId="4D949D43">
            <w:pPr>
              <w:pStyle w:val="72"/>
              <w:kinsoku w:val="0"/>
              <w:overflowPunct w:val="0"/>
              <w:ind w:hanging="221"/>
              <w:jc w:val="center"/>
              <w:rPr>
                <w:rFonts w:ascii="宋体" w:hAnsi="宋体"/>
                <w:color w:val="auto"/>
                <w:sz w:val="22"/>
                <w:szCs w:val="22"/>
                <w:highlight w:val="none"/>
              </w:rPr>
            </w:pPr>
            <w:r>
              <w:rPr>
                <w:rFonts w:hint="eastAsia" w:ascii="宋体" w:hAnsi="宋体" w:cs="宋体"/>
                <w:color w:val="auto"/>
                <w:spacing w:val="-1"/>
                <w:sz w:val="22"/>
                <w:szCs w:val="22"/>
                <w:highlight w:val="none"/>
              </w:rPr>
              <w:t>项</w:t>
            </w:r>
            <w:r>
              <w:rPr>
                <w:rFonts w:hint="eastAsia" w:ascii="宋体" w:hAnsi="宋体" w:cs="宋体"/>
                <w:color w:val="auto"/>
                <w:spacing w:val="-3"/>
                <w:sz w:val="22"/>
                <w:szCs w:val="22"/>
                <w:highlight w:val="none"/>
              </w:rPr>
              <w:t>目</w:t>
            </w:r>
            <w:r>
              <w:rPr>
                <w:rFonts w:hint="eastAsia" w:ascii="宋体" w:hAnsi="宋体" w:cs="宋体"/>
                <w:color w:val="auto"/>
                <w:sz w:val="22"/>
                <w:szCs w:val="22"/>
                <w:highlight w:val="none"/>
              </w:rPr>
              <w:t>名称</w:t>
            </w:r>
          </w:p>
        </w:tc>
        <w:tc>
          <w:tcPr>
            <w:tcW w:w="1313" w:type="dxa"/>
            <w:tcBorders>
              <w:top w:val="single" w:color="000000" w:sz="10" w:space="0"/>
              <w:left w:val="single" w:color="000000" w:sz="4" w:space="0"/>
              <w:bottom w:val="single" w:color="000000" w:sz="4" w:space="0"/>
              <w:right w:val="single" w:color="000000" w:sz="4" w:space="0"/>
            </w:tcBorders>
            <w:vAlign w:val="center"/>
          </w:tcPr>
          <w:p w14:paraId="2C55297D">
            <w:pPr>
              <w:pStyle w:val="72"/>
              <w:kinsoku w:val="0"/>
              <w:overflowPunct w:val="0"/>
              <w:jc w:val="center"/>
              <w:rPr>
                <w:rFonts w:ascii="宋体" w:hAnsi="宋体"/>
                <w:color w:val="auto"/>
                <w:sz w:val="22"/>
                <w:szCs w:val="22"/>
                <w:highlight w:val="none"/>
              </w:rPr>
            </w:pPr>
            <w:r>
              <w:rPr>
                <w:rFonts w:hint="eastAsia" w:ascii="宋体" w:hAnsi="宋体" w:cs="宋体"/>
                <w:color w:val="auto"/>
                <w:spacing w:val="-1"/>
                <w:sz w:val="22"/>
                <w:szCs w:val="22"/>
                <w:highlight w:val="none"/>
              </w:rPr>
              <w:t>业主单位</w:t>
            </w:r>
          </w:p>
        </w:tc>
        <w:tc>
          <w:tcPr>
            <w:tcW w:w="1200" w:type="dxa"/>
            <w:tcBorders>
              <w:top w:val="single" w:color="000000" w:sz="10" w:space="0"/>
              <w:left w:val="single" w:color="000000" w:sz="4" w:space="0"/>
              <w:bottom w:val="single" w:color="000000" w:sz="4" w:space="0"/>
              <w:right w:val="single" w:color="000000" w:sz="4" w:space="0"/>
            </w:tcBorders>
            <w:vAlign w:val="center"/>
          </w:tcPr>
          <w:p w14:paraId="5731AA2E">
            <w:pPr>
              <w:pStyle w:val="72"/>
              <w:kinsoku w:val="0"/>
              <w:overflowPunct w:val="0"/>
              <w:ind w:hanging="221"/>
              <w:jc w:val="center"/>
              <w:rPr>
                <w:rFonts w:ascii="宋体" w:hAnsi="宋体"/>
                <w:color w:val="auto"/>
                <w:sz w:val="22"/>
                <w:szCs w:val="22"/>
                <w:highlight w:val="none"/>
              </w:rPr>
            </w:pPr>
            <w:r>
              <w:rPr>
                <w:rFonts w:hint="eastAsia" w:ascii="宋体" w:hAnsi="宋体" w:cs="宋体"/>
                <w:color w:val="auto"/>
                <w:spacing w:val="-1"/>
                <w:sz w:val="22"/>
                <w:szCs w:val="22"/>
                <w:highlight w:val="none"/>
              </w:rPr>
              <w:t>签</w:t>
            </w:r>
            <w:r>
              <w:rPr>
                <w:rFonts w:hint="eastAsia" w:ascii="宋体" w:hAnsi="宋体" w:cs="宋体"/>
                <w:color w:val="auto"/>
                <w:spacing w:val="-3"/>
                <w:sz w:val="22"/>
                <w:szCs w:val="22"/>
                <w:highlight w:val="none"/>
              </w:rPr>
              <w:t>约</w:t>
            </w:r>
            <w:r>
              <w:rPr>
                <w:rFonts w:hint="eastAsia" w:ascii="宋体" w:hAnsi="宋体" w:cs="宋体"/>
                <w:color w:val="auto"/>
                <w:sz w:val="22"/>
                <w:szCs w:val="22"/>
                <w:highlight w:val="none"/>
              </w:rPr>
              <w:t>日期</w:t>
            </w:r>
          </w:p>
        </w:tc>
        <w:tc>
          <w:tcPr>
            <w:tcW w:w="1137" w:type="dxa"/>
            <w:tcBorders>
              <w:top w:val="single" w:color="000000" w:sz="10" w:space="0"/>
              <w:left w:val="single" w:color="000000" w:sz="4" w:space="0"/>
              <w:bottom w:val="single" w:color="000000" w:sz="4" w:space="0"/>
              <w:right w:val="single" w:color="000000" w:sz="4" w:space="0"/>
            </w:tcBorders>
            <w:vAlign w:val="center"/>
          </w:tcPr>
          <w:p w14:paraId="0941CEAE">
            <w:pPr>
              <w:pStyle w:val="72"/>
              <w:kinsoku w:val="0"/>
              <w:overflowPunct w:val="0"/>
              <w:jc w:val="center"/>
              <w:rPr>
                <w:rFonts w:ascii="宋体" w:hAnsi="宋体"/>
                <w:color w:val="auto"/>
                <w:sz w:val="22"/>
                <w:szCs w:val="22"/>
                <w:highlight w:val="none"/>
              </w:rPr>
            </w:pPr>
            <w:r>
              <w:rPr>
                <w:rFonts w:hint="eastAsia" w:ascii="宋体" w:hAnsi="宋体" w:cs="宋体"/>
                <w:color w:val="auto"/>
                <w:spacing w:val="-1"/>
                <w:sz w:val="22"/>
                <w:szCs w:val="22"/>
                <w:highlight w:val="none"/>
              </w:rPr>
              <w:t>联</w:t>
            </w:r>
            <w:r>
              <w:rPr>
                <w:rFonts w:hint="eastAsia" w:ascii="宋体" w:hAnsi="宋体" w:cs="宋体"/>
                <w:color w:val="auto"/>
                <w:spacing w:val="-3"/>
                <w:sz w:val="22"/>
                <w:szCs w:val="22"/>
                <w:highlight w:val="none"/>
              </w:rPr>
              <w:t>系</w:t>
            </w:r>
            <w:r>
              <w:rPr>
                <w:rFonts w:hint="eastAsia" w:ascii="宋体" w:hAnsi="宋体" w:cs="宋体"/>
                <w:color w:val="auto"/>
                <w:sz w:val="22"/>
                <w:szCs w:val="22"/>
                <w:highlight w:val="none"/>
              </w:rPr>
              <w:t>人</w:t>
            </w:r>
          </w:p>
        </w:tc>
        <w:tc>
          <w:tcPr>
            <w:tcW w:w="1525" w:type="dxa"/>
            <w:tcBorders>
              <w:top w:val="single" w:color="000000" w:sz="10" w:space="0"/>
              <w:left w:val="single" w:color="000000" w:sz="4" w:space="0"/>
              <w:bottom w:val="single" w:color="000000" w:sz="4" w:space="0"/>
              <w:right w:val="single" w:color="000000" w:sz="4" w:space="0"/>
            </w:tcBorders>
            <w:vAlign w:val="center"/>
          </w:tcPr>
          <w:p w14:paraId="1F62BB62">
            <w:pPr>
              <w:pStyle w:val="72"/>
              <w:kinsoku w:val="0"/>
              <w:overflowPunct w:val="0"/>
              <w:jc w:val="center"/>
              <w:rPr>
                <w:rFonts w:ascii="宋体" w:hAnsi="宋体"/>
                <w:color w:val="auto"/>
                <w:sz w:val="22"/>
                <w:szCs w:val="22"/>
                <w:highlight w:val="none"/>
              </w:rPr>
            </w:pPr>
            <w:r>
              <w:rPr>
                <w:rFonts w:hint="eastAsia" w:ascii="宋体" w:hAnsi="宋体" w:cs="宋体"/>
                <w:color w:val="auto"/>
                <w:spacing w:val="-1"/>
                <w:sz w:val="22"/>
                <w:szCs w:val="22"/>
                <w:highlight w:val="none"/>
              </w:rPr>
              <w:t>联</w:t>
            </w:r>
            <w:r>
              <w:rPr>
                <w:rFonts w:hint="eastAsia" w:ascii="宋体" w:hAnsi="宋体" w:cs="宋体"/>
                <w:color w:val="auto"/>
                <w:spacing w:val="-3"/>
                <w:sz w:val="22"/>
                <w:szCs w:val="22"/>
                <w:highlight w:val="none"/>
              </w:rPr>
              <w:t>系</w:t>
            </w:r>
            <w:r>
              <w:rPr>
                <w:rFonts w:hint="eastAsia" w:ascii="宋体" w:hAnsi="宋体" w:cs="宋体"/>
                <w:color w:val="auto"/>
                <w:spacing w:val="-1"/>
                <w:sz w:val="22"/>
                <w:szCs w:val="22"/>
                <w:highlight w:val="none"/>
              </w:rPr>
              <w:t>电</w:t>
            </w:r>
            <w:r>
              <w:rPr>
                <w:rFonts w:hint="eastAsia" w:ascii="宋体" w:hAnsi="宋体" w:cs="宋体"/>
                <w:color w:val="auto"/>
                <w:sz w:val="22"/>
                <w:szCs w:val="22"/>
                <w:highlight w:val="none"/>
              </w:rPr>
              <w:t>话</w:t>
            </w:r>
          </w:p>
        </w:tc>
        <w:tc>
          <w:tcPr>
            <w:tcW w:w="1363" w:type="dxa"/>
            <w:tcBorders>
              <w:top w:val="single" w:color="000000" w:sz="10" w:space="0"/>
              <w:left w:val="single" w:color="000000" w:sz="4" w:space="0"/>
              <w:bottom w:val="single" w:color="000000" w:sz="4" w:space="0"/>
              <w:right w:val="single" w:color="000000" w:sz="10" w:space="0"/>
            </w:tcBorders>
            <w:vAlign w:val="center"/>
          </w:tcPr>
          <w:p w14:paraId="04849B01">
            <w:pPr>
              <w:pStyle w:val="72"/>
              <w:kinsoku w:val="0"/>
              <w:overflowPunct w:val="0"/>
              <w:jc w:val="center"/>
              <w:rPr>
                <w:rFonts w:ascii="宋体" w:hAnsi="宋体"/>
                <w:color w:val="auto"/>
                <w:sz w:val="22"/>
                <w:szCs w:val="22"/>
                <w:highlight w:val="none"/>
              </w:rPr>
            </w:pPr>
            <w:r>
              <w:rPr>
                <w:rFonts w:hint="eastAsia" w:ascii="宋体" w:hAnsi="宋体" w:cs="宋体"/>
                <w:color w:val="auto"/>
                <w:spacing w:val="-1"/>
                <w:sz w:val="22"/>
                <w:szCs w:val="22"/>
                <w:highlight w:val="none"/>
              </w:rPr>
              <w:t>备</w:t>
            </w:r>
            <w:r>
              <w:rPr>
                <w:rFonts w:hint="eastAsia" w:ascii="宋体" w:hAnsi="宋体" w:cs="宋体"/>
                <w:color w:val="auto"/>
                <w:sz w:val="22"/>
                <w:szCs w:val="22"/>
                <w:highlight w:val="none"/>
              </w:rPr>
              <w:t>注（填写项目概况）</w:t>
            </w:r>
          </w:p>
        </w:tc>
      </w:tr>
      <w:tr w14:paraId="00973687">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14:paraId="6100F0D3">
            <w:pPr>
              <w:spacing w:line="360" w:lineRule="auto"/>
              <w:jc w:val="center"/>
              <w:rPr>
                <w:rFonts w:ascii="宋体" w:hAnsi="宋体"/>
                <w:color w:val="auto"/>
                <w:sz w:val="22"/>
                <w:szCs w:val="22"/>
                <w:highlight w:val="none"/>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5C29BB30">
            <w:pPr>
              <w:spacing w:line="360" w:lineRule="auto"/>
              <w:jc w:val="center"/>
              <w:rPr>
                <w:rFonts w:ascii="宋体" w:hAnsi="宋体"/>
                <w:color w:val="auto"/>
                <w:sz w:val="22"/>
                <w:szCs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F7B644E">
            <w:pPr>
              <w:spacing w:line="360" w:lineRule="auto"/>
              <w:jc w:val="center"/>
              <w:rPr>
                <w:rFonts w:ascii="宋体" w:hAnsi="宋体"/>
                <w:color w:val="auto"/>
                <w:sz w:val="22"/>
                <w:szCs w:val="22"/>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8FDC147">
            <w:pPr>
              <w:spacing w:line="360" w:lineRule="auto"/>
              <w:jc w:val="center"/>
              <w:rPr>
                <w:rFonts w:ascii="宋体" w:hAnsi="宋体"/>
                <w:color w:val="auto"/>
                <w:sz w:val="22"/>
                <w:szCs w:val="22"/>
                <w:highlight w:val="none"/>
              </w:rPr>
            </w:pPr>
          </w:p>
        </w:tc>
        <w:tc>
          <w:tcPr>
            <w:tcW w:w="1137" w:type="dxa"/>
            <w:tcBorders>
              <w:top w:val="single" w:color="000000" w:sz="4" w:space="0"/>
              <w:left w:val="single" w:color="000000" w:sz="4" w:space="0"/>
              <w:bottom w:val="single" w:color="000000" w:sz="4" w:space="0"/>
              <w:right w:val="single" w:color="000000" w:sz="4" w:space="0"/>
            </w:tcBorders>
            <w:vAlign w:val="center"/>
          </w:tcPr>
          <w:p w14:paraId="057C6DE3">
            <w:pPr>
              <w:spacing w:line="360" w:lineRule="auto"/>
              <w:jc w:val="center"/>
              <w:rPr>
                <w:rFonts w:ascii="宋体" w:hAnsi="宋体"/>
                <w:color w:val="auto"/>
                <w:sz w:val="22"/>
                <w:szCs w:val="22"/>
                <w:highlight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1530107E">
            <w:pPr>
              <w:spacing w:line="360" w:lineRule="auto"/>
              <w:jc w:val="center"/>
              <w:rPr>
                <w:rFonts w:ascii="宋体" w:hAnsi="宋体"/>
                <w:color w:val="auto"/>
                <w:sz w:val="22"/>
                <w:szCs w:val="22"/>
                <w:highlight w:val="none"/>
              </w:rPr>
            </w:pPr>
          </w:p>
        </w:tc>
        <w:tc>
          <w:tcPr>
            <w:tcW w:w="1363" w:type="dxa"/>
            <w:tcBorders>
              <w:top w:val="single" w:color="000000" w:sz="4" w:space="0"/>
              <w:left w:val="single" w:color="000000" w:sz="4" w:space="0"/>
              <w:bottom w:val="single" w:color="000000" w:sz="4" w:space="0"/>
              <w:right w:val="single" w:color="000000" w:sz="10" w:space="0"/>
            </w:tcBorders>
            <w:vAlign w:val="center"/>
          </w:tcPr>
          <w:p w14:paraId="48F822F4">
            <w:pPr>
              <w:spacing w:line="360" w:lineRule="auto"/>
              <w:jc w:val="center"/>
              <w:rPr>
                <w:rFonts w:ascii="宋体" w:hAnsi="宋体"/>
                <w:color w:val="auto"/>
                <w:sz w:val="22"/>
                <w:szCs w:val="22"/>
                <w:highlight w:val="none"/>
              </w:rPr>
            </w:pPr>
          </w:p>
        </w:tc>
      </w:tr>
      <w:tr w14:paraId="2025931B">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14:paraId="765773F2">
            <w:pPr>
              <w:spacing w:line="360" w:lineRule="auto"/>
              <w:jc w:val="center"/>
              <w:rPr>
                <w:rFonts w:ascii="宋体" w:hAnsi="宋体"/>
                <w:color w:val="auto"/>
                <w:sz w:val="22"/>
                <w:szCs w:val="22"/>
                <w:highlight w:val="none"/>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6716CAE3">
            <w:pPr>
              <w:spacing w:line="360" w:lineRule="auto"/>
              <w:jc w:val="center"/>
              <w:rPr>
                <w:rFonts w:ascii="宋体" w:hAnsi="宋体"/>
                <w:color w:val="auto"/>
                <w:sz w:val="22"/>
                <w:szCs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B720FB3">
            <w:pPr>
              <w:spacing w:line="360" w:lineRule="auto"/>
              <w:jc w:val="center"/>
              <w:rPr>
                <w:rFonts w:ascii="宋体" w:hAnsi="宋体"/>
                <w:color w:val="auto"/>
                <w:sz w:val="22"/>
                <w:szCs w:val="22"/>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1B125FC">
            <w:pPr>
              <w:spacing w:line="360" w:lineRule="auto"/>
              <w:jc w:val="center"/>
              <w:rPr>
                <w:rFonts w:ascii="宋体" w:hAnsi="宋体"/>
                <w:color w:val="auto"/>
                <w:sz w:val="22"/>
                <w:szCs w:val="22"/>
                <w:highlight w:val="none"/>
              </w:rPr>
            </w:pPr>
          </w:p>
        </w:tc>
        <w:tc>
          <w:tcPr>
            <w:tcW w:w="1137" w:type="dxa"/>
            <w:tcBorders>
              <w:top w:val="single" w:color="000000" w:sz="4" w:space="0"/>
              <w:left w:val="single" w:color="000000" w:sz="4" w:space="0"/>
              <w:bottom w:val="single" w:color="000000" w:sz="4" w:space="0"/>
              <w:right w:val="single" w:color="000000" w:sz="4" w:space="0"/>
            </w:tcBorders>
            <w:vAlign w:val="center"/>
          </w:tcPr>
          <w:p w14:paraId="251ADA2A">
            <w:pPr>
              <w:spacing w:line="360" w:lineRule="auto"/>
              <w:jc w:val="center"/>
              <w:rPr>
                <w:rFonts w:ascii="宋体" w:hAnsi="宋体"/>
                <w:color w:val="auto"/>
                <w:sz w:val="22"/>
                <w:szCs w:val="22"/>
                <w:highlight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0439E7B5">
            <w:pPr>
              <w:spacing w:line="360" w:lineRule="auto"/>
              <w:jc w:val="center"/>
              <w:rPr>
                <w:rFonts w:ascii="宋体" w:hAnsi="宋体"/>
                <w:color w:val="auto"/>
                <w:sz w:val="22"/>
                <w:szCs w:val="22"/>
                <w:highlight w:val="none"/>
              </w:rPr>
            </w:pPr>
          </w:p>
        </w:tc>
        <w:tc>
          <w:tcPr>
            <w:tcW w:w="1363" w:type="dxa"/>
            <w:tcBorders>
              <w:top w:val="single" w:color="000000" w:sz="4" w:space="0"/>
              <w:left w:val="single" w:color="000000" w:sz="4" w:space="0"/>
              <w:bottom w:val="single" w:color="000000" w:sz="4" w:space="0"/>
              <w:right w:val="single" w:color="000000" w:sz="10" w:space="0"/>
            </w:tcBorders>
            <w:vAlign w:val="center"/>
          </w:tcPr>
          <w:p w14:paraId="47F4B374">
            <w:pPr>
              <w:spacing w:line="360" w:lineRule="auto"/>
              <w:jc w:val="center"/>
              <w:rPr>
                <w:rFonts w:ascii="宋体" w:hAnsi="宋体"/>
                <w:color w:val="auto"/>
                <w:sz w:val="22"/>
                <w:szCs w:val="22"/>
                <w:highlight w:val="none"/>
              </w:rPr>
            </w:pPr>
          </w:p>
        </w:tc>
      </w:tr>
      <w:tr w14:paraId="6076177C">
        <w:tblPrEx>
          <w:tblCellMar>
            <w:top w:w="0" w:type="dxa"/>
            <w:left w:w="0" w:type="dxa"/>
            <w:bottom w:w="0" w:type="dxa"/>
            <w:right w:w="0" w:type="dxa"/>
          </w:tblCellMar>
        </w:tblPrEx>
        <w:trPr>
          <w:trHeight w:val="637" w:hRule="exact"/>
        </w:trPr>
        <w:tc>
          <w:tcPr>
            <w:tcW w:w="688" w:type="dxa"/>
            <w:tcBorders>
              <w:top w:val="single" w:color="000000" w:sz="4" w:space="0"/>
              <w:left w:val="single" w:color="000000" w:sz="10" w:space="0"/>
              <w:bottom w:val="single" w:color="000000" w:sz="4" w:space="0"/>
              <w:right w:val="single" w:color="000000" w:sz="4" w:space="0"/>
            </w:tcBorders>
            <w:vAlign w:val="center"/>
          </w:tcPr>
          <w:p w14:paraId="1BEDF40F">
            <w:pPr>
              <w:spacing w:line="360" w:lineRule="auto"/>
              <w:jc w:val="center"/>
              <w:rPr>
                <w:rFonts w:ascii="宋体" w:hAnsi="宋体"/>
                <w:color w:val="auto"/>
                <w:sz w:val="22"/>
                <w:szCs w:val="22"/>
                <w:highlight w:val="none"/>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45C4A705">
            <w:pPr>
              <w:spacing w:line="360" w:lineRule="auto"/>
              <w:jc w:val="center"/>
              <w:rPr>
                <w:rFonts w:ascii="宋体" w:hAnsi="宋体"/>
                <w:color w:val="auto"/>
                <w:sz w:val="22"/>
                <w:szCs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7826A8A">
            <w:pPr>
              <w:spacing w:line="360" w:lineRule="auto"/>
              <w:jc w:val="center"/>
              <w:rPr>
                <w:rFonts w:ascii="宋体" w:hAnsi="宋体"/>
                <w:color w:val="auto"/>
                <w:sz w:val="22"/>
                <w:szCs w:val="22"/>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854C42B">
            <w:pPr>
              <w:spacing w:line="360" w:lineRule="auto"/>
              <w:jc w:val="center"/>
              <w:rPr>
                <w:rFonts w:ascii="宋体" w:hAnsi="宋体"/>
                <w:color w:val="auto"/>
                <w:sz w:val="22"/>
                <w:szCs w:val="22"/>
                <w:highlight w:val="none"/>
              </w:rPr>
            </w:pPr>
          </w:p>
        </w:tc>
        <w:tc>
          <w:tcPr>
            <w:tcW w:w="1137" w:type="dxa"/>
            <w:tcBorders>
              <w:top w:val="single" w:color="000000" w:sz="4" w:space="0"/>
              <w:left w:val="single" w:color="000000" w:sz="4" w:space="0"/>
              <w:bottom w:val="single" w:color="000000" w:sz="4" w:space="0"/>
              <w:right w:val="single" w:color="000000" w:sz="4" w:space="0"/>
            </w:tcBorders>
            <w:vAlign w:val="center"/>
          </w:tcPr>
          <w:p w14:paraId="0B69BCC6">
            <w:pPr>
              <w:spacing w:line="360" w:lineRule="auto"/>
              <w:jc w:val="center"/>
              <w:rPr>
                <w:rFonts w:ascii="宋体" w:hAnsi="宋体"/>
                <w:color w:val="auto"/>
                <w:sz w:val="22"/>
                <w:szCs w:val="22"/>
                <w:highlight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695CFB59">
            <w:pPr>
              <w:spacing w:line="360" w:lineRule="auto"/>
              <w:jc w:val="center"/>
              <w:rPr>
                <w:rFonts w:ascii="宋体" w:hAnsi="宋体"/>
                <w:color w:val="auto"/>
                <w:sz w:val="22"/>
                <w:szCs w:val="22"/>
                <w:highlight w:val="none"/>
              </w:rPr>
            </w:pPr>
          </w:p>
        </w:tc>
        <w:tc>
          <w:tcPr>
            <w:tcW w:w="1363" w:type="dxa"/>
            <w:tcBorders>
              <w:top w:val="single" w:color="000000" w:sz="4" w:space="0"/>
              <w:left w:val="single" w:color="000000" w:sz="4" w:space="0"/>
              <w:bottom w:val="single" w:color="000000" w:sz="4" w:space="0"/>
              <w:right w:val="single" w:color="000000" w:sz="10" w:space="0"/>
            </w:tcBorders>
            <w:vAlign w:val="center"/>
          </w:tcPr>
          <w:p w14:paraId="41739CAF">
            <w:pPr>
              <w:spacing w:line="360" w:lineRule="auto"/>
              <w:jc w:val="center"/>
              <w:rPr>
                <w:rFonts w:ascii="宋体" w:hAnsi="宋体"/>
                <w:color w:val="auto"/>
                <w:sz w:val="22"/>
                <w:szCs w:val="22"/>
                <w:highlight w:val="none"/>
              </w:rPr>
            </w:pPr>
          </w:p>
        </w:tc>
      </w:tr>
      <w:tr w14:paraId="182A19A3">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14:paraId="4E45A6A1">
            <w:pPr>
              <w:spacing w:line="360" w:lineRule="auto"/>
              <w:jc w:val="center"/>
              <w:rPr>
                <w:rFonts w:ascii="宋体" w:hAnsi="宋体"/>
                <w:color w:val="auto"/>
                <w:sz w:val="22"/>
                <w:szCs w:val="22"/>
                <w:highlight w:val="none"/>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6F397749">
            <w:pPr>
              <w:spacing w:line="360" w:lineRule="auto"/>
              <w:jc w:val="center"/>
              <w:rPr>
                <w:rFonts w:ascii="宋体" w:hAnsi="宋体"/>
                <w:color w:val="auto"/>
                <w:sz w:val="22"/>
                <w:szCs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DFD977A">
            <w:pPr>
              <w:spacing w:line="360" w:lineRule="auto"/>
              <w:jc w:val="center"/>
              <w:rPr>
                <w:rFonts w:ascii="宋体" w:hAnsi="宋体"/>
                <w:color w:val="auto"/>
                <w:sz w:val="22"/>
                <w:szCs w:val="22"/>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DECA9C5">
            <w:pPr>
              <w:spacing w:line="360" w:lineRule="auto"/>
              <w:jc w:val="center"/>
              <w:rPr>
                <w:rFonts w:ascii="宋体" w:hAnsi="宋体"/>
                <w:color w:val="auto"/>
                <w:sz w:val="22"/>
                <w:szCs w:val="22"/>
                <w:highlight w:val="none"/>
              </w:rPr>
            </w:pPr>
          </w:p>
        </w:tc>
        <w:tc>
          <w:tcPr>
            <w:tcW w:w="1137" w:type="dxa"/>
            <w:tcBorders>
              <w:top w:val="single" w:color="000000" w:sz="4" w:space="0"/>
              <w:left w:val="single" w:color="000000" w:sz="4" w:space="0"/>
              <w:bottom w:val="single" w:color="000000" w:sz="4" w:space="0"/>
              <w:right w:val="single" w:color="000000" w:sz="4" w:space="0"/>
            </w:tcBorders>
            <w:vAlign w:val="center"/>
          </w:tcPr>
          <w:p w14:paraId="7B0DE1EC">
            <w:pPr>
              <w:spacing w:line="360" w:lineRule="auto"/>
              <w:jc w:val="center"/>
              <w:rPr>
                <w:rFonts w:ascii="宋体" w:hAnsi="宋体"/>
                <w:color w:val="auto"/>
                <w:sz w:val="22"/>
                <w:szCs w:val="22"/>
                <w:highlight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3DFB218E">
            <w:pPr>
              <w:spacing w:line="360" w:lineRule="auto"/>
              <w:jc w:val="center"/>
              <w:rPr>
                <w:rFonts w:ascii="宋体" w:hAnsi="宋体"/>
                <w:color w:val="auto"/>
                <w:sz w:val="22"/>
                <w:szCs w:val="22"/>
                <w:highlight w:val="none"/>
              </w:rPr>
            </w:pPr>
          </w:p>
        </w:tc>
        <w:tc>
          <w:tcPr>
            <w:tcW w:w="1363" w:type="dxa"/>
            <w:tcBorders>
              <w:top w:val="single" w:color="000000" w:sz="4" w:space="0"/>
              <w:left w:val="single" w:color="000000" w:sz="4" w:space="0"/>
              <w:bottom w:val="single" w:color="000000" w:sz="4" w:space="0"/>
              <w:right w:val="single" w:color="000000" w:sz="10" w:space="0"/>
            </w:tcBorders>
            <w:vAlign w:val="center"/>
          </w:tcPr>
          <w:p w14:paraId="6AA33FF9">
            <w:pPr>
              <w:spacing w:line="360" w:lineRule="auto"/>
              <w:jc w:val="center"/>
              <w:rPr>
                <w:rFonts w:ascii="宋体" w:hAnsi="宋体"/>
                <w:color w:val="auto"/>
                <w:sz w:val="22"/>
                <w:szCs w:val="22"/>
                <w:highlight w:val="none"/>
              </w:rPr>
            </w:pPr>
          </w:p>
        </w:tc>
      </w:tr>
      <w:tr w14:paraId="5B49537B">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14:paraId="38599C50">
            <w:pPr>
              <w:spacing w:line="360" w:lineRule="auto"/>
              <w:jc w:val="center"/>
              <w:rPr>
                <w:rFonts w:ascii="宋体" w:hAnsi="宋体"/>
                <w:color w:val="auto"/>
                <w:sz w:val="22"/>
                <w:szCs w:val="22"/>
                <w:highlight w:val="none"/>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318C52C6">
            <w:pPr>
              <w:spacing w:line="360" w:lineRule="auto"/>
              <w:jc w:val="center"/>
              <w:rPr>
                <w:rFonts w:ascii="宋体" w:hAnsi="宋体"/>
                <w:color w:val="auto"/>
                <w:sz w:val="22"/>
                <w:szCs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2851463E">
            <w:pPr>
              <w:spacing w:line="360" w:lineRule="auto"/>
              <w:jc w:val="center"/>
              <w:rPr>
                <w:rFonts w:ascii="宋体" w:hAnsi="宋体"/>
                <w:color w:val="auto"/>
                <w:sz w:val="22"/>
                <w:szCs w:val="22"/>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BE92F90">
            <w:pPr>
              <w:spacing w:line="360" w:lineRule="auto"/>
              <w:jc w:val="center"/>
              <w:rPr>
                <w:rFonts w:ascii="宋体" w:hAnsi="宋体"/>
                <w:color w:val="auto"/>
                <w:sz w:val="22"/>
                <w:szCs w:val="22"/>
                <w:highlight w:val="none"/>
              </w:rPr>
            </w:pPr>
          </w:p>
        </w:tc>
        <w:tc>
          <w:tcPr>
            <w:tcW w:w="1137" w:type="dxa"/>
            <w:tcBorders>
              <w:top w:val="single" w:color="000000" w:sz="4" w:space="0"/>
              <w:left w:val="single" w:color="000000" w:sz="4" w:space="0"/>
              <w:bottom w:val="single" w:color="000000" w:sz="4" w:space="0"/>
              <w:right w:val="single" w:color="000000" w:sz="4" w:space="0"/>
            </w:tcBorders>
            <w:vAlign w:val="center"/>
          </w:tcPr>
          <w:p w14:paraId="44703E1F">
            <w:pPr>
              <w:spacing w:line="360" w:lineRule="auto"/>
              <w:jc w:val="center"/>
              <w:rPr>
                <w:rFonts w:ascii="宋体" w:hAnsi="宋体"/>
                <w:color w:val="auto"/>
                <w:sz w:val="22"/>
                <w:szCs w:val="22"/>
                <w:highlight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6694EA40">
            <w:pPr>
              <w:spacing w:line="360" w:lineRule="auto"/>
              <w:jc w:val="center"/>
              <w:rPr>
                <w:rFonts w:ascii="宋体" w:hAnsi="宋体"/>
                <w:color w:val="auto"/>
                <w:sz w:val="22"/>
                <w:szCs w:val="22"/>
                <w:highlight w:val="none"/>
              </w:rPr>
            </w:pPr>
          </w:p>
        </w:tc>
        <w:tc>
          <w:tcPr>
            <w:tcW w:w="1363" w:type="dxa"/>
            <w:tcBorders>
              <w:top w:val="single" w:color="000000" w:sz="4" w:space="0"/>
              <w:left w:val="single" w:color="000000" w:sz="4" w:space="0"/>
              <w:bottom w:val="single" w:color="000000" w:sz="4" w:space="0"/>
              <w:right w:val="single" w:color="000000" w:sz="10" w:space="0"/>
            </w:tcBorders>
            <w:vAlign w:val="center"/>
          </w:tcPr>
          <w:p w14:paraId="6322E73D">
            <w:pPr>
              <w:spacing w:line="360" w:lineRule="auto"/>
              <w:jc w:val="center"/>
              <w:rPr>
                <w:rFonts w:ascii="宋体" w:hAnsi="宋体"/>
                <w:color w:val="auto"/>
                <w:sz w:val="22"/>
                <w:szCs w:val="22"/>
                <w:highlight w:val="none"/>
              </w:rPr>
            </w:pPr>
          </w:p>
        </w:tc>
      </w:tr>
      <w:tr w14:paraId="0620DE93">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14:paraId="3E6B53C2">
            <w:pPr>
              <w:spacing w:line="360" w:lineRule="auto"/>
              <w:jc w:val="center"/>
              <w:rPr>
                <w:rFonts w:ascii="宋体" w:hAnsi="宋体"/>
                <w:color w:val="auto"/>
                <w:sz w:val="22"/>
                <w:szCs w:val="22"/>
                <w:highlight w:val="none"/>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1B231188">
            <w:pPr>
              <w:spacing w:line="360" w:lineRule="auto"/>
              <w:jc w:val="center"/>
              <w:rPr>
                <w:rFonts w:ascii="宋体" w:hAnsi="宋体"/>
                <w:color w:val="auto"/>
                <w:sz w:val="22"/>
                <w:szCs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5EBB566">
            <w:pPr>
              <w:spacing w:line="360" w:lineRule="auto"/>
              <w:jc w:val="center"/>
              <w:rPr>
                <w:rFonts w:ascii="宋体" w:hAnsi="宋体"/>
                <w:color w:val="auto"/>
                <w:sz w:val="22"/>
                <w:szCs w:val="22"/>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D64EB58">
            <w:pPr>
              <w:spacing w:line="360" w:lineRule="auto"/>
              <w:jc w:val="center"/>
              <w:rPr>
                <w:rFonts w:ascii="宋体" w:hAnsi="宋体"/>
                <w:color w:val="auto"/>
                <w:sz w:val="22"/>
                <w:szCs w:val="22"/>
                <w:highlight w:val="none"/>
              </w:rPr>
            </w:pPr>
          </w:p>
        </w:tc>
        <w:tc>
          <w:tcPr>
            <w:tcW w:w="1137" w:type="dxa"/>
            <w:tcBorders>
              <w:top w:val="single" w:color="000000" w:sz="4" w:space="0"/>
              <w:left w:val="single" w:color="000000" w:sz="4" w:space="0"/>
              <w:bottom w:val="single" w:color="000000" w:sz="4" w:space="0"/>
              <w:right w:val="single" w:color="000000" w:sz="4" w:space="0"/>
            </w:tcBorders>
            <w:vAlign w:val="center"/>
          </w:tcPr>
          <w:p w14:paraId="3BBBB6BB">
            <w:pPr>
              <w:spacing w:line="360" w:lineRule="auto"/>
              <w:jc w:val="center"/>
              <w:rPr>
                <w:rFonts w:ascii="宋体" w:hAnsi="宋体"/>
                <w:color w:val="auto"/>
                <w:sz w:val="22"/>
                <w:szCs w:val="22"/>
                <w:highlight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5E9BA927">
            <w:pPr>
              <w:spacing w:line="360" w:lineRule="auto"/>
              <w:jc w:val="center"/>
              <w:rPr>
                <w:rFonts w:ascii="宋体" w:hAnsi="宋体"/>
                <w:color w:val="auto"/>
                <w:sz w:val="22"/>
                <w:szCs w:val="22"/>
                <w:highlight w:val="none"/>
              </w:rPr>
            </w:pPr>
          </w:p>
        </w:tc>
        <w:tc>
          <w:tcPr>
            <w:tcW w:w="1363" w:type="dxa"/>
            <w:tcBorders>
              <w:top w:val="single" w:color="000000" w:sz="4" w:space="0"/>
              <w:left w:val="single" w:color="000000" w:sz="4" w:space="0"/>
              <w:bottom w:val="single" w:color="000000" w:sz="4" w:space="0"/>
              <w:right w:val="single" w:color="000000" w:sz="10" w:space="0"/>
            </w:tcBorders>
            <w:vAlign w:val="center"/>
          </w:tcPr>
          <w:p w14:paraId="5AA54E0B">
            <w:pPr>
              <w:spacing w:line="360" w:lineRule="auto"/>
              <w:jc w:val="center"/>
              <w:rPr>
                <w:rFonts w:ascii="宋体" w:hAnsi="宋体"/>
                <w:color w:val="auto"/>
                <w:sz w:val="22"/>
                <w:szCs w:val="22"/>
                <w:highlight w:val="none"/>
              </w:rPr>
            </w:pPr>
          </w:p>
        </w:tc>
      </w:tr>
      <w:tr w14:paraId="7934F2B1">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14:paraId="3B8B57C2">
            <w:pPr>
              <w:spacing w:line="360" w:lineRule="auto"/>
              <w:jc w:val="center"/>
              <w:rPr>
                <w:rFonts w:ascii="宋体" w:hAnsi="宋体"/>
                <w:color w:val="auto"/>
                <w:sz w:val="22"/>
                <w:szCs w:val="22"/>
                <w:highlight w:val="none"/>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2CD7AC5B">
            <w:pPr>
              <w:spacing w:line="360" w:lineRule="auto"/>
              <w:jc w:val="center"/>
              <w:rPr>
                <w:rFonts w:ascii="宋体" w:hAnsi="宋体"/>
                <w:color w:val="auto"/>
                <w:sz w:val="22"/>
                <w:szCs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82BBF0E">
            <w:pPr>
              <w:spacing w:line="360" w:lineRule="auto"/>
              <w:jc w:val="center"/>
              <w:rPr>
                <w:rFonts w:ascii="宋体" w:hAnsi="宋体"/>
                <w:color w:val="auto"/>
                <w:sz w:val="22"/>
                <w:szCs w:val="22"/>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43F1AD8">
            <w:pPr>
              <w:spacing w:line="360" w:lineRule="auto"/>
              <w:jc w:val="center"/>
              <w:rPr>
                <w:rFonts w:ascii="宋体" w:hAnsi="宋体"/>
                <w:color w:val="auto"/>
                <w:sz w:val="22"/>
                <w:szCs w:val="22"/>
                <w:highlight w:val="none"/>
              </w:rPr>
            </w:pPr>
          </w:p>
        </w:tc>
        <w:tc>
          <w:tcPr>
            <w:tcW w:w="1137" w:type="dxa"/>
            <w:tcBorders>
              <w:top w:val="single" w:color="000000" w:sz="4" w:space="0"/>
              <w:left w:val="single" w:color="000000" w:sz="4" w:space="0"/>
              <w:bottom w:val="single" w:color="000000" w:sz="4" w:space="0"/>
              <w:right w:val="single" w:color="000000" w:sz="4" w:space="0"/>
            </w:tcBorders>
            <w:vAlign w:val="center"/>
          </w:tcPr>
          <w:p w14:paraId="55FCBB35">
            <w:pPr>
              <w:spacing w:line="360" w:lineRule="auto"/>
              <w:jc w:val="center"/>
              <w:rPr>
                <w:rFonts w:ascii="宋体" w:hAnsi="宋体"/>
                <w:color w:val="auto"/>
                <w:sz w:val="22"/>
                <w:szCs w:val="22"/>
                <w:highlight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41121D56">
            <w:pPr>
              <w:spacing w:line="360" w:lineRule="auto"/>
              <w:jc w:val="center"/>
              <w:rPr>
                <w:rFonts w:ascii="宋体" w:hAnsi="宋体"/>
                <w:color w:val="auto"/>
                <w:sz w:val="22"/>
                <w:szCs w:val="22"/>
                <w:highlight w:val="none"/>
              </w:rPr>
            </w:pPr>
          </w:p>
        </w:tc>
        <w:tc>
          <w:tcPr>
            <w:tcW w:w="1363" w:type="dxa"/>
            <w:tcBorders>
              <w:top w:val="single" w:color="000000" w:sz="4" w:space="0"/>
              <w:left w:val="single" w:color="000000" w:sz="4" w:space="0"/>
              <w:bottom w:val="single" w:color="000000" w:sz="4" w:space="0"/>
              <w:right w:val="single" w:color="000000" w:sz="10" w:space="0"/>
            </w:tcBorders>
            <w:vAlign w:val="center"/>
          </w:tcPr>
          <w:p w14:paraId="40A5D7ED">
            <w:pPr>
              <w:spacing w:line="360" w:lineRule="auto"/>
              <w:jc w:val="center"/>
              <w:rPr>
                <w:rFonts w:ascii="宋体" w:hAnsi="宋体"/>
                <w:color w:val="auto"/>
                <w:sz w:val="22"/>
                <w:szCs w:val="22"/>
                <w:highlight w:val="none"/>
              </w:rPr>
            </w:pPr>
          </w:p>
        </w:tc>
      </w:tr>
      <w:tr w14:paraId="6974F6E7">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14:paraId="56DDDD41">
            <w:pPr>
              <w:spacing w:line="360" w:lineRule="auto"/>
              <w:jc w:val="center"/>
              <w:rPr>
                <w:rFonts w:ascii="宋体" w:hAnsi="宋体"/>
                <w:color w:val="auto"/>
                <w:sz w:val="22"/>
                <w:szCs w:val="22"/>
                <w:highlight w:val="none"/>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317B8A34">
            <w:pPr>
              <w:spacing w:line="360" w:lineRule="auto"/>
              <w:jc w:val="center"/>
              <w:rPr>
                <w:rFonts w:ascii="宋体" w:hAnsi="宋体"/>
                <w:color w:val="auto"/>
                <w:sz w:val="22"/>
                <w:szCs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4B83FC82">
            <w:pPr>
              <w:spacing w:line="360" w:lineRule="auto"/>
              <w:jc w:val="center"/>
              <w:rPr>
                <w:rFonts w:ascii="宋体" w:hAnsi="宋体"/>
                <w:color w:val="auto"/>
                <w:sz w:val="22"/>
                <w:szCs w:val="22"/>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3B1CC83">
            <w:pPr>
              <w:spacing w:line="360" w:lineRule="auto"/>
              <w:jc w:val="center"/>
              <w:rPr>
                <w:rFonts w:ascii="宋体" w:hAnsi="宋体"/>
                <w:color w:val="auto"/>
                <w:sz w:val="22"/>
                <w:szCs w:val="22"/>
                <w:highlight w:val="none"/>
              </w:rPr>
            </w:pPr>
          </w:p>
        </w:tc>
        <w:tc>
          <w:tcPr>
            <w:tcW w:w="1137" w:type="dxa"/>
            <w:tcBorders>
              <w:top w:val="single" w:color="000000" w:sz="4" w:space="0"/>
              <w:left w:val="single" w:color="000000" w:sz="4" w:space="0"/>
              <w:bottom w:val="single" w:color="000000" w:sz="4" w:space="0"/>
              <w:right w:val="single" w:color="000000" w:sz="4" w:space="0"/>
            </w:tcBorders>
            <w:vAlign w:val="center"/>
          </w:tcPr>
          <w:p w14:paraId="75B9AC49">
            <w:pPr>
              <w:spacing w:line="360" w:lineRule="auto"/>
              <w:jc w:val="center"/>
              <w:rPr>
                <w:rFonts w:ascii="宋体" w:hAnsi="宋体"/>
                <w:color w:val="auto"/>
                <w:sz w:val="22"/>
                <w:szCs w:val="22"/>
                <w:highlight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7733D232">
            <w:pPr>
              <w:spacing w:line="360" w:lineRule="auto"/>
              <w:jc w:val="center"/>
              <w:rPr>
                <w:rFonts w:ascii="宋体" w:hAnsi="宋体"/>
                <w:color w:val="auto"/>
                <w:sz w:val="22"/>
                <w:szCs w:val="22"/>
                <w:highlight w:val="none"/>
              </w:rPr>
            </w:pPr>
          </w:p>
        </w:tc>
        <w:tc>
          <w:tcPr>
            <w:tcW w:w="1363" w:type="dxa"/>
            <w:tcBorders>
              <w:top w:val="single" w:color="000000" w:sz="4" w:space="0"/>
              <w:left w:val="single" w:color="000000" w:sz="4" w:space="0"/>
              <w:bottom w:val="single" w:color="000000" w:sz="4" w:space="0"/>
              <w:right w:val="single" w:color="000000" w:sz="10" w:space="0"/>
            </w:tcBorders>
            <w:vAlign w:val="center"/>
          </w:tcPr>
          <w:p w14:paraId="64D5F2CD">
            <w:pPr>
              <w:spacing w:line="360" w:lineRule="auto"/>
              <w:jc w:val="center"/>
              <w:rPr>
                <w:rFonts w:ascii="宋体" w:hAnsi="宋体"/>
                <w:color w:val="auto"/>
                <w:sz w:val="22"/>
                <w:szCs w:val="22"/>
                <w:highlight w:val="none"/>
              </w:rPr>
            </w:pPr>
          </w:p>
        </w:tc>
      </w:tr>
      <w:tr w14:paraId="377C9FF3">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14:paraId="04E560A5">
            <w:pPr>
              <w:spacing w:line="360" w:lineRule="auto"/>
              <w:jc w:val="center"/>
              <w:rPr>
                <w:rFonts w:ascii="宋体" w:hAnsi="宋体"/>
                <w:color w:val="auto"/>
                <w:sz w:val="22"/>
                <w:szCs w:val="22"/>
                <w:highlight w:val="none"/>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7138316C">
            <w:pPr>
              <w:spacing w:line="360" w:lineRule="auto"/>
              <w:jc w:val="center"/>
              <w:rPr>
                <w:rFonts w:ascii="宋体" w:hAnsi="宋体"/>
                <w:color w:val="auto"/>
                <w:sz w:val="22"/>
                <w:szCs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7513A317">
            <w:pPr>
              <w:spacing w:line="360" w:lineRule="auto"/>
              <w:jc w:val="center"/>
              <w:rPr>
                <w:rFonts w:ascii="宋体" w:hAnsi="宋体"/>
                <w:color w:val="auto"/>
                <w:sz w:val="22"/>
                <w:szCs w:val="22"/>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C6D97B6">
            <w:pPr>
              <w:spacing w:line="360" w:lineRule="auto"/>
              <w:jc w:val="center"/>
              <w:rPr>
                <w:rFonts w:ascii="宋体" w:hAnsi="宋体"/>
                <w:color w:val="auto"/>
                <w:sz w:val="22"/>
                <w:szCs w:val="22"/>
                <w:highlight w:val="none"/>
              </w:rPr>
            </w:pPr>
          </w:p>
        </w:tc>
        <w:tc>
          <w:tcPr>
            <w:tcW w:w="1137" w:type="dxa"/>
            <w:tcBorders>
              <w:top w:val="single" w:color="000000" w:sz="4" w:space="0"/>
              <w:left w:val="single" w:color="000000" w:sz="4" w:space="0"/>
              <w:bottom w:val="single" w:color="000000" w:sz="4" w:space="0"/>
              <w:right w:val="single" w:color="000000" w:sz="4" w:space="0"/>
            </w:tcBorders>
            <w:vAlign w:val="center"/>
          </w:tcPr>
          <w:p w14:paraId="28245CA6">
            <w:pPr>
              <w:spacing w:line="360" w:lineRule="auto"/>
              <w:jc w:val="center"/>
              <w:rPr>
                <w:rFonts w:ascii="宋体" w:hAnsi="宋体"/>
                <w:color w:val="auto"/>
                <w:sz w:val="22"/>
                <w:szCs w:val="22"/>
                <w:highlight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183161AC">
            <w:pPr>
              <w:spacing w:line="360" w:lineRule="auto"/>
              <w:jc w:val="center"/>
              <w:rPr>
                <w:rFonts w:ascii="宋体" w:hAnsi="宋体"/>
                <w:color w:val="auto"/>
                <w:sz w:val="22"/>
                <w:szCs w:val="22"/>
                <w:highlight w:val="none"/>
              </w:rPr>
            </w:pPr>
          </w:p>
        </w:tc>
        <w:tc>
          <w:tcPr>
            <w:tcW w:w="1363" w:type="dxa"/>
            <w:tcBorders>
              <w:top w:val="single" w:color="000000" w:sz="4" w:space="0"/>
              <w:left w:val="single" w:color="000000" w:sz="4" w:space="0"/>
              <w:bottom w:val="single" w:color="000000" w:sz="4" w:space="0"/>
              <w:right w:val="single" w:color="000000" w:sz="10" w:space="0"/>
            </w:tcBorders>
            <w:vAlign w:val="center"/>
          </w:tcPr>
          <w:p w14:paraId="56574901">
            <w:pPr>
              <w:spacing w:line="360" w:lineRule="auto"/>
              <w:jc w:val="center"/>
              <w:rPr>
                <w:rFonts w:ascii="宋体" w:hAnsi="宋体"/>
                <w:color w:val="auto"/>
                <w:sz w:val="22"/>
                <w:szCs w:val="22"/>
                <w:highlight w:val="none"/>
              </w:rPr>
            </w:pPr>
          </w:p>
        </w:tc>
      </w:tr>
      <w:tr w14:paraId="638A2A23">
        <w:tblPrEx>
          <w:tblCellMar>
            <w:top w:w="0" w:type="dxa"/>
            <w:left w:w="0" w:type="dxa"/>
            <w:bottom w:w="0" w:type="dxa"/>
            <w:right w:w="0" w:type="dxa"/>
          </w:tblCellMar>
        </w:tblPrEx>
        <w:trPr>
          <w:trHeight w:val="712" w:hRule="exact"/>
        </w:trPr>
        <w:tc>
          <w:tcPr>
            <w:tcW w:w="688" w:type="dxa"/>
            <w:tcBorders>
              <w:top w:val="single" w:color="000000" w:sz="4" w:space="0"/>
              <w:left w:val="single" w:color="000000" w:sz="10" w:space="0"/>
              <w:bottom w:val="single" w:color="000000" w:sz="10" w:space="0"/>
              <w:right w:val="single" w:color="000000" w:sz="4" w:space="0"/>
            </w:tcBorders>
            <w:vAlign w:val="center"/>
          </w:tcPr>
          <w:p w14:paraId="425A6E58">
            <w:pPr>
              <w:spacing w:line="360" w:lineRule="auto"/>
              <w:jc w:val="center"/>
              <w:rPr>
                <w:rFonts w:ascii="宋体" w:hAnsi="宋体"/>
                <w:color w:val="auto"/>
                <w:sz w:val="22"/>
                <w:szCs w:val="22"/>
                <w:highlight w:val="none"/>
              </w:rPr>
            </w:pPr>
          </w:p>
        </w:tc>
        <w:tc>
          <w:tcPr>
            <w:tcW w:w="1279" w:type="dxa"/>
            <w:tcBorders>
              <w:top w:val="single" w:color="000000" w:sz="4" w:space="0"/>
              <w:left w:val="single" w:color="000000" w:sz="4" w:space="0"/>
              <w:bottom w:val="single" w:color="000000" w:sz="10" w:space="0"/>
              <w:right w:val="single" w:color="000000" w:sz="4" w:space="0"/>
            </w:tcBorders>
            <w:vAlign w:val="center"/>
          </w:tcPr>
          <w:p w14:paraId="5EDD3329">
            <w:pPr>
              <w:spacing w:line="360" w:lineRule="auto"/>
              <w:jc w:val="center"/>
              <w:rPr>
                <w:rFonts w:ascii="宋体" w:hAnsi="宋体"/>
                <w:color w:val="auto"/>
                <w:sz w:val="22"/>
                <w:szCs w:val="22"/>
                <w:highlight w:val="none"/>
              </w:rPr>
            </w:pPr>
          </w:p>
        </w:tc>
        <w:tc>
          <w:tcPr>
            <w:tcW w:w="1313" w:type="dxa"/>
            <w:tcBorders>
              <w:top w:val="single" w:color="000000" w:sz="4" w:space="0"/>
              <w:left w:val="single" w:color="000000" w:sz="4" w:space="0"/>
              <w:bottom w:val="single" w:color="000000" w:sz="10" w:space="0"/>
              <w:right w:val="single" w:color="000000" w:sz="4" w:space="0"/>
            </w:tcBorders>
            <w:vAlign w:val="center"/>
          </w:tcPr>
          <w:p w14:paraId="4A09AE77">
            <w:pPr>
              <w:spacing w:line="360" w:lineRule="auto"/>
              <w:jc w:val="center"/>
              <w:rPr>
                <w:rFonts w:ascii="宋体" w:hAnsi="宋体"/>
                <w:color w:val="auto"/>
                <w:sz w:val="22"/>
                <w:szCs w:val="22"/>
                <w:highlight w:val="none"/>
              </w:rPr>
            </w:pPr>
          </w:p>
        </w:tc>
        <w:tc>
          <w:tcPr>
            <w:tcW w:w="1200" w:type="dxa"/>
            <w:tcBorders>
              <w:top w:val="single" w:color="000000" w:sz="4" w:space="0"/>
              <w:left w:val="single" w:color="000000" w:sz="4" w:space="0"/>
              <w:bottom w:val="single" w:color="000000" w:sz="10" w:space="0"/>
              <w:right w:val="single" w:color="000000" w:sz="4" w:space="0"/>
            </w:tcBorders>
            <w:vAlign w:val="center"/>
          </w:tcPr>
          <w:p w14:paraId="10F2F89A">
            <w:pPr>
              <w:spacing w:line="360" w:lineRule="auto"/>
              <w:jc w:val="center"/>
              <w:rPr>
                <w:rFonts w:ascii="宋体" w:hAnsi="宋体"/>
                <w:color w:val="auto"/>
                <w:sz w:val="22"/>
                <w:szCs w:val="22"/>
                <w:highlight w:val="none"/>
              </w:rPr>
            </w:pPr>
          </w:p>
        </w:tc>
        <w:tc>
          <w:tcPr>
            <w:tcW w:w="1137" w:type="dxa"/>
            <w:tcBorders>
              <w:top w:val="single" w:color="000000" w:sz="4" w:space="0"/>
              <w:left w:val="single" w:color="000000" w:sz="4" w:space="0"/>
              <w:bottom w:val="single" w:color="000000" w:sz="10" w:space="0"/>
              <w:right w:val="single" w:color="000000" w:sz="4" w:space="0"/>
            </w:tcBorders>
            <w:vAlign w:val="center"/>
          </w:tcPr>
          <w:p w14:paraId="18C5C223">
            <w:pPr>
              <w:spacing w:line="360" w:lineRule="auto"/>
              <w:jc w:val="center"/>
              <w:rPr>
                <w:rFonts w:ascii="宋体" w:hAnsi="宋体"/>
                <w:color w:val="auto"/>
                <w:sz w:val="22"/>
                <w:szCs w:val="22"/>
                <w:highlight w:val="none"/>
              </w:rPr>
            </w:pPr>
          </w:p>
        </w:tc>
        <w:tc>
          <w:tcPr>
            <w:tcW w:w="1525" w:type="dxa"/>
            <w:tcBorders>
              <w:top w:val="single" w:color="000000" w:sz="4" w:space="0"/>
              <w:left w:val="single" w:color="000000" w:sz="4" w:space="0"/>
              <w:bottom w:val="single" w:color="000000" w:sz="10" w:space="0"/>
              <w:right w:val="single" w:color="000000" w:sz="4" w:space="0"/>
            </w:tcBorders>
            <w:vAlign w:val="center"/>
          </w:tcPr>
          <w:p w14:paraId="4686241F">
            <w:pPr>
              <w:spacing w:line="360" w:lineRule="auto"/>
              <w:jc w:val="center"/>
              <w:rPr>
                <w:rFonts w:ascii="宋体" w:hAnsi="宋体"/>
                <w:color w:val="auto"/>
                <w:sz w:val="22"/>
                <w:szCs w:val="22"/>
                <w:highlight w:val="none"/>
              </w:rPr>
            </w:pPr>
          </w:p>
        </w:tc>
        <w:tc>
          <w:tcPr>
            <w:tcW w:w="1363" w:type="dxa"/>
            <w:tcBorders>
              <w:top w:val="single" w:color="000000" w:sz="4" w:space="0"/>
              <w:left w:val="single" w:color="000000" w:sz="4" w:space="0"/>
              <w:bottom w:val="single" w:color="000000" w:sz="10" w:space="0"/>
              <w:right w:val="single" w:color="000000" w:sz="10" w:space="0"/>
            </w:tcBorders>
            <w:vAlign w:val="center"/>
          </w:tcPr>
          <w:p w14:paraId="02DE30F8">
            <w:pPr>
              <w:spacing w:line="360" w:lineRule="auto"/>
              <w:jc w:val="center"/>
              <w:rPr>
                <w:rFonts w:ascii="宋体" w:hAnsi="宋体"/>
                <w:color w:val="auto"/>
                <w:sz w:val="22"/>
                <w:szCs w:val="22"/>
                <w:highlight w:val="none"/>
              </w:rPr>
            </w:pPr>
          </w:p>
        </w:tc>
      </w:tr>
    </w:tbl>
    <w:p w14:paraId="2777C755">
      <w:pPr>
        <w:autoSpaceDE w:val="0"/>
        <w:autoSpaceDN w:val="0"/>
        <w:adjustRightInd w:val="0"/>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注：</w:t>
      </w:r>
    </w:p>
    <w:p w14:paraId="11553324">
      <w:pPr>
        <w:numPr>
          <w:ilvl w:val="0"/>
          <w:numId w:val="6"/>
        </w:numPr>
        <w:tabs>
          <w:tab w:val="left" w:pos="420"/>
          <w:tab w:val="left" w:pos="1260"/>
          <w:tab w:val="left" w:pos="5355"/>
        </w:tabs>
        <w:autoSpaceDE w:val="0"/>
        <w:autoSpaceDN w:val="0"/>
        <w:adjustRightInd w:val="0"/>
        <w:spacing w:line="430" w:lineRule="atLeast"/>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提供项目合同复印件，未提供则不得分；</w:t>
      </w:r>
    </w:p>
    <w:p w14:paraId="38E6F25A">
      <w:pPr>
        <w:numPr>
          <w:ilvl w:val="0"/>
          <w:numId w:val="6"/>
        </w:numPr>
        <w:tabs>
          <w:tab w:val="left" w:pos="420"/>
          <w:tab w:val="left" w:pos="1260"/>
          <w:tab w:val="left" w:pos="5355"/>
        </w:tabs>
        <w:autoSpaceDE w:val="0"/>
        <w:autoSpaceDN w:val="0"/>
        <w:adjustRightInd w:val="0"/>
        <w:spacing w:line="430" w:lineRule="atLeast"/>
        <w:rPr>
          <w:rFonts w:ascii="宋体" w:hAnsi="宋体" w:cs="宋体"/>
          <w:color w:val="auto"/>
          <w:kern w:val="0"/>
          <w:sz w:val="22"/>
          <w:szCs w:val="22"/>
          <w:highlight w:val="none"/>
        </w:rPr>
      </w:pPr>
      <w:r>
        <w:rPr>
          <w:rStyle w:val="36"/>
          <w:rFonts w:hint="eastAsia" w:ascii="宋体" w:hAnsi="宋体" w:cs="宋体"/>
          <w:color w:val="auto"/>
          <w:kern w:val="0"/>
          <w:sz w:val="22"/>
          <w:szCs w:val="22"/>
          <w:highlight w:val="none"/>
        </w:rPr>
        <w:t>以合同签订日期为准</w:t>
      </w:r>
      <w:r>
        <w:rPr>
          <w:rFonts w:hint="eastAsia" w:ascii="宋体" w:hAnsi="宋体" w:cs="宋体"/>
          <w:color w:val="auto"/>
          <w:kern w:val="0"/>
          <w:sz w:val="22"/>
          <w:szCs w:val="22"/>
          <w:highlight w:val="none"/>
        </w:rPr>
        <w:t>。</w:t>
      </w:r>
    </w:p>
    <w:p w14:paraId="21026329">
      <w:pPr>
        <w:spacing w:line="380" w:lineRule="exact"/>
        <w:jc w:val="left"/>
        <w:rPr>
          <w:rFonts w:ascii="宋体" w:hAnsi="宋体" w:cs="宋体"/>
          <w:color w:val="auto"/>
          <w:sz w:val="22"/>
          <w:szCs w:val="22"/>
          <w:highlight w:val="none"/>
        </w:rPr>
      </w:pPr>
    </w:p>
    <w:p w14:paraId="6418D9F3">
      <w:pPr>
        <w:spacing w:line="380" w:lineRule="exact"/>
        <w:jc w:val="left"/>
        <w:rPr>
          <w:rFonts w:ascii="宋体" w:hAnsi="宋体" w:cs="宋体"/>
          <w:color w:val="auto"/>
          <w:sz w:val="22"/>
          <w:szCs w:val="22"/>
          <w:highlight w:val="none"/>
        </w:rPr>
      </w:pPr>
    </w:p>
    <w:p w14:paraId="52DACD66">
      <w:pPr>
        <w:spacing w:line="38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投标人全称（加盖单位公章）： </w:t>
      </w:r>
    </w:p>
    <w:p w14:paraId="238759FF">
      <w:pPr>
        <w:spacing w:line="38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14:paraId="67FDD3A1">
      <w:pPr>
        <w:spacing w:line="38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257D52D5">
      <w:pPr>
        <w:spacing w:line="460" w:lineRule="exact"/>
        <w:jc w:val="center"/>
        <w:rPr>
          <w:rFonts w:ascii="宋体" w:hAnsi="宋体"/>
          <w:b/>
          <w:bCs/>
          <w:color w:val="auto"/>
          <w:sz w:val="28"/>
          <w:szCs w:val="28"/>
          <w:highlight w:val="none"/>
        </w:rPr>
      </w:pPr>
    </w:p>
    <w:p w14:paraId="34D9698A">
      <w:pPr>
        <w:rPr>
          <w:rFonts w:ascii="宋体" w:hAnsi="宋体"/>
          <w:b/>
          <w:bCs/>
          <w:color w:val="auto"/>
          <w:sz w:val="28"/>
          <w:szCs w:val="28"/>
          <w:highlight w:val="none"/>
        </w:rPr>
      </w:pPr>
      <w:r>
        <w:rPr>
          <w:rFonts w:ascii="宋体" w:hAnsi="宋体"/>
          <w:b/>
          <w:bCs/>
          <w:color w:val="auto"/>
          <w:sz w:val="28"/>
          <w:szCs w:val="28"/>
          <w:highlight w:val="none"/>
        </w:rPr>
        <w:br w:type="page"/>
      </w:r>
    </w:p>
    <w:p w14:paraId="1679E2CA">
      <w:pPr>
        <w:spacing w:line="460" w:lineRule="exact"/>
        <w:jc w:val="left"/>
        <w:rPr>
          <w:rFonts w:ascii="宋体" w:hAnsi="宋体"/>
          <w:b/>
          <w:bCs/>
          <w:color w:val="auto"/>
          <w:sz w:val="28"/>
          <w:szCs w:val="28"/>
          <w:highlight w:val="none"/>
        </w:rPr>
      </w:pPr>
      <w:r>
        <w:rPr>
          <w:rFonts w:hint="eastAsia" w:ascii="宋体" w:hAnsi="宋体"/>
          <w:color w:val="auto"/>
          <w:sz w:val="28"/>
          <w:szCs w:val="32"/>
          <w:highlight w:val="none"/>
        </w:rPr>
        <w:t>附件十二</w:t>
      </w:r>
    </w:p>
    <w:p w14:paraId="4BA3E84D">
      <w:pPr>
        <w:jc w:val="center"/>
        <w:outlineLvl w:val="3"/>
        <w:rPr>
          <w:rFonts w:ascii="宋体" w:hAnsi="宋体"/>
          <w:b/>
          <w:bCs/>
          <w:color w:val="auto"/>
          <w:sz w:val="28"/>
          <w:szCs w:val="32"/>
          <w:highlight w:val="none"/>
        </w:rPr>
      </w:pPr>
      <w:r>
        <w:rPr>
          <w:rFonts w:hint="eastAsia" w:ascii="宋体" w:hAnsi="宋体"/>
          <w:b/>
          <w:bCs/>
          <w:color w:val="auto"/>
          <w:sz w:val="28"/>
          <w:szCs w:val="32"/>
          <w:highlight w:val="none"/>
        </w:rPr>
        <w:t>投标人认证证书（格式自拟）</w:t>
      </w:r>
    </w:p>
    <w:p w14:paraId="5BB7A906">
      <w:pPr>
        <w:jc w:val="center"/>
        <w:rPr>
          <w:rFonts w:ascii="宋体" w:hAnsi="宋体"/>
          <w:b/>
          <w:bCs/>
          <w:color w:val="auto"/>
          <w:sz w:val="24"/>
          <w:szCs w:val="28"/>
          <w:highlight w:val="none"/>
        </w:rPr>
      </w:pPr>
    </w:p>
    <w:p w14:paraId="76759B35">
      <w:pPr>
        <w:jc w:val="center"/>
        <w:rPr>
          <w:rFonts w:ascii="宋体" w:hAnsi="宋体"/>
          <w:b/>
          <w:bCs/>
          <w:color w:val="auto"/>
          <w:sz w:val="24"/>
          <w:szCs w:val="28"/>
          <w:highlight w:val="none"/>
        </w:rPr>
      </w:pPr>
    </w:p>
    <w:p w14:paraId="1D7834DB">
      <w:pPr>
        <w:jc w:val="center"/>
        <w:rPr>
          <w:rFonts w:ascii="宋体" w:hAnsi="宋体"/>
          <w:b/>
          <w:bCs/>
          <w:color w:val="auto"/>
          <w:sz w:val="24"/>
          <w:szCs w:val="28"/>
          <w:highlight w:val="none"/>
        </w:rPr>
      </w:pPr>
    </w:p>
    <w:p w14:paraId="681199D2">
      <w:pPr>
        <w:jc w:val="center"/>
        <w:rPr>
          <w:rFonts w:ascii="宋体" w:hAnsi="宋体"/>
          <w:b/>
          <w:bCs/>
          <w:color w:val="auto"/>
          <w:sz w:val="24"/>
          <w:szCs w:val="28"/>
          <w:highlight w:val="none"/>
        </w:rPr>
      </w:pPr>
    </w:p>
    <w:p w14:paraId="4C7CEA98">
      <w:pPr>
        <w:jc w:val="center"/>
        <w:rPr>
          <w:rFonts w:ascii="宋体" w:hAnsi="宋体"/>
          <w:b/>
          <w:bCs/>
          <w:color w:val="auto"/>
          <w:sz w:val="24"/>
          <w:szCs w:val="28"/>
          <w:highlight w:val="none"/>
        </w:rPr>
      </w:pPr>
    </w:p>
    <w:p w14:paraId="32EA924B">
      <w:pPr>
        <w:jc w:val="center"/>
        <w:rPr>
          <w:rFonts w:ascii="宋体" w:hAnsi="宋体"/>
          <w:b/>
          <w:bCs/>
          <w:color w:val="auto"/>
          <w:sz w:val="24"/>
          <w:szCs w:val="28"/>
          <w:highlight w:val="none"/>
        </w:rPr>
      </w:pPr>
    </w:p>
    <w:p w14:paraId="3033C6C2">
      <w:pPr>
        <w:jc w:val="center"/>
        <w:rPr>
          <w:rFonts w:ascii="宋体" w:hAnsi="宋体"/>
          <w:b/>
          <w:bCs/>
          <w:color w:val="auto"/>
          <w:sz w:val="24"/>
          <w:szCs w:val="28"/>
          <w:highlight w:val="none"/>
        </w:rPr>
      </w:pPr>
    </w:p>
    <w:p w14:paraId="2506CCD1">
      <w:pPr>
        <w:jc w:val="center"/>
        <w:rPr>
          <w:rFonts w:ascii="宋体" w:hAnsi="宋体"/>
          <w:b/>
          <w:bCs/>
          <w:color w:val="auto"/>
          <w:sz w:val="24"/>
          <w:szCs w:val="28"/>
          <w:highlight w:val="none"/>
        </w:rPr>
      </w:pPr>
    </w:p>
    <w:p w14:paraId="050CD87B">
      <w:pPr>
        <w:jc w:val="center"/>
        <w:rPr>
          <w:rFonts w:ascii="宋体" w:hAnsi="宋体"/>
          <w:b/>
          <w:bCs/>
          <w:color w:val="auto"/>
          <w:sz w:val="24"/>
          <w:szCs w:val="28"/>
          <w:highlight w:val="none"/>
        </w:rPr>
      </w:pPr>
    </w:p>
    <w:p w14:paraId="203822FF">
      <w:pPr>
        <w:jc w:val="center"/>
        <w:rPr>
          <w:rFonts w:ascii="宋体" w:hAnsi="宋体"/>
          <w:b/>
          <w:bCs/>
          <w:color w:val="auto"/>
          <w:sz w:val="24"/>
          <w:szCs w:val="28"/>
          <w:highlight w:val="none"/>
        </w:rPr>
      </w:pPr>
    </w:p>
    <w:p w14:paraId="6D24D5D7">
      <w:pPr>
        <w:jc w:val="center"/>
        <w:rPr>
          <w:rFonts w:ascii="宋体" w:hAnsi="宋体"/>
          <w:b/>
          <w:bCs/>
          <w:color w:val="auto"/>
          <w:sz w:val="24"/>
          <w:szCs w:val="28"/>
          <w:highlight w:val="none"/>
        </w:rPr>
      </w:pPr>
    </w:p>
    <w:p w14:paraId="47097DCC">
      <w:pPr>
        <w:jc w:val="center"/>
        <w:rPr>
          <w:rFonts w:ascii="宋体" w:hAnsi="宋体"/>
          <w:b/>
          <w:bCs/>
          <w:color w:val="auto"/>
          <w:sz w:val="24"/>
          <w:szCs w:val="28"/>
          <w:highlight w:val="none"/>
        </w:rPr>
      </w:pPr>
    </w:p>
    <w:p w14:paraId="6014FE26">
      <w:pPr>
        <w:jc w:val="center"/>
        <w:rPr>
          <w:rFonts w:ascii="宋体" w:hAnsi="宋体"/>
          <w:b/>
          <w:bCs/>
          <w:color w:val="auto"/>
          <w:sz w:val="24"/>
          <w:szCs w:val="28"/>
          <w:highlight w:val="none"/>
        </w:rPr>
      </w:pPr>
    </w:p>
    <w:p w14:paraId="2AA2C9D8">
      <w:pPr>
        <w:jc w:val="center"/>
        <w:rPr>
          <w:rFonts w:ascii="宋体" w:hAnsi="宋体"/>
          <w:b/>
          <w:bCs/>
          <w:color w:val="auto"/>
          <w:sz w:val="24"/>
          <w:szCs w:val="28"/>
          <w:highlight w:val="none"/>
        </w:rPr>
      </w:pPr>
    </w:p>
    <w:p w14:paraId="4230E926">
      <w:pPr>
        <w:jc w:val="center"/>
        <w:rPr>
          <w:rFonts w:ascii="宋体" w:hAnsi="宋体"/>
          <w:b/>
          <w:bCs/>
          <w:color w:val="auto"/>
          <w:sz w:val="24"/>
          <w:szCs w:val="28"/>
          <w:highlight w:val="none"/>
        </w:rPr>
      </w:pPr>
    </w:p>
    <w:p w14:paraId="0739ED7E">
      <w:pPr>
        <w:jc w:val="center"/>
        <w:rPr>
          <w:rFonts w:ascii="宋体" w:hAnsi="宋体"/>
          <w:b/>
          <w:bCs/>
          <w:color w:val="auto"/>
          <w:sz w:val="24"/>
          <w:szCs w:val="28"/>
          <w:highlight w:val="none"/>
        </w:rPr>
      </w:pPr>
    </w:p>
    <w:p w14:paraId="7B7EEDA2">
      <w:pPr>
        <w:jc w:val="center"/>
        <w:rPr>
          <w:rFonts w:ascii="宋体" w:hAnsi="宋体"/>
          <w:b/>
          <w:bCs/>
          <w:color w:val="auto"/>
          <w:sz w:val="24"/>
          <w:szCs w:val="28"/>
          <w:highlight w:val="none"/>
        </w:rPr>
      </w:pPr>
    </w:p>
    <w:p w14:paraId="066B1642">
      <w:pPr>
        <w:jc w:val="center"/>
        <w:rPr>
          <w:rFonts w:ascii="宋体" w:hAnsi="宋体"/>
          <w:b/>
          <w:bCs/>
          <w:color w:val="auto"/>
          <w:sz w:val="24"/>
          <w:szCs w:val="28"/>
          <w:highlight w:val="none"/>
        </w:rPr>
      </w:pPr>
    </w:p>
    <w:p w14:paraId="52F18583">
      <w:pPr>
        <w:jc w:val="center"/>
        <w:rPr>
          <w:rFonts w:ascii="宋体" w:hAnsi="宋体"/>
          <w:b/>
          <w:bCs/>
          <w:color w:val="auto"/>
          <w:sz w:val="24"/>
          <w:szCs w:val="28"/>
          <w:highlight w:val="none"/>
        </w:rPr>
      </w:pPr>
    </w:p>
    <w:p w14:paraId="29B04E33">
      <w:pPr>
        <w:jc w:val="center"/>
        <w:rPr>
          <w:rFonts w:ascii="宋体" w:hAnsi="宋体"/>
          <w:b/>
          <w:bCs/>
          <w:color w:val="auto"/>
          <w:sz w:val="24"/>
          <w:szCs w:val="28"/>
          <w:highlight w:val="none"/>
        </w:rPr>
      </w:pPr>
    </w:p>
    <w:p w14:paraId="45D4D032">
      <w:pPr>
        <w:jc w:val="center"/>
        <w:rPr>
          <w:rFonts w:ascii="宋体" w:hAnsi="宋体"/>
          <w:b/>
          <w:bCs/>
          <w:color w:val="auto"/>
          <w:sz w:val="24"/>
          <w:szCs w:val="28"/>
          <w:highlight w:val="none"/>
        </w:rPr>
      </w:pPr>
    </w:p>
    <w:p w14:paraId="2C0754B8">
      <w:pPr>
        <w:jc w:val="center"/>
        <w:rPr>
          <w:rFonts w:ascii="宋体" w:hAnsi="宋体"/>
          <w:b/>
          <w:bCs/>
          <w:color w:val="auto"/>
          <w:sz w:val="24"/>
          <w:szCs w:val="28"/>
          <w:highlight w:val="none"/>
        </w:rPr>
      </w:pPr>
    </w:p>
    <w:p w14:paraId="3DC51930">
      <w:pPr>
        <w:jc w:val="center"/>
        <w:rPr>
          <w:rFonts w:ascii="宋体" w:hAnsi="宋体"/>
          <w:b/>
          <w:bCs/>
          <w:color w:val="auto"/>
          <w:sz w:val="24"/>
          <w:szCs w:val="28"/>
          <w:highlight w:val="none"/>
        </w:rPr>
      </w:pPr>
    </w:p>
    <w:p w14:paraId="11F736D2">
      <w:pPr>
        <w:jc w:val="center"/>
        <w:rPr>
          <w:rFonts w:ascii="宋体" w:hAnsi="宋体"/>
          <w:b/>
          <w:bCs/>
          <w:color w:val="auto"/>
          <w:sz w:val="24"/>
          <w:szCs w:val="28"/>
          <w:highlight w:val="none"/>
        </w:rPr>
      </w:pPr>
    </w:p>
    <w:p w14:paraId="7A3B529B">
      <w:pPr>
        <w:jc w:val="center"/>
        <w:rPr>
          <w:rFonts w:ascii="宋体" w:hAnsi="宋体"/>
          <w:b/>
          <w:bCs/>
          <w:color w:val="auto"/>
          <w:sz w:val="24"/>
          <w:szCs w:val="28"/>
          <w:highlight w:val="none"/>
        </w:rPr>
      </w:pPr>
    </w:p>
    <w:p w14:paraId="2B6BEA74">
      <w:pPr>
        <w:jc w:val="center"/>
        <w:rPr>
          <w:rFonts w:ascii="宋体" w:hAnsi="宋体"/>
          <w:b/>
          <w:bCs/>
          <w:color w:val="auto"/>
          <w:sz w:val="24"/>
          <w:szCs w:val="28"/>
          <w:highlight w:val="none"/>
        </w:rPr>
      </w:pPr>
    </w:p>
    <w:p w14:paraId="0F9DD512">
      <w:pPr>
        <w:jc w:val="center"/>
        <w:rPr>
          <w:rFonts w:ascii="宋体" w:hAnsi="宋体"/>
          <w:b/>
          <w:bCs/>
          <w:color w:val="auto"/>
          <w:sz w:val="24"/>
          <w:szCs w:val="28"/>
          <w:highlight w:val="none"/>
        </w:rPr>
      </w:pPr>
    </w:p>
    <w:p w14:paraId="45C91EFC">
      <w:pPr>
        <w:jc w:val="center"/>
        <w:rPr>
          <w:rFonts w:ascii="宋体" w:hAnsi="宋体"/>
          <w:b/>
          <w:bCs/>
          <w:color w:val="auto"/>
          <w:sz w:val="24"/>
          <w:szCs w:val="28"/>
          <w:highlight w:val="none"/>
        </w:rPr>
      </w:pPr>
    </w:p>
    <w:p w14:paraId="1D79FB22">
      <w:pPr>
        <w:jc w:val="center"/>
        <w:rPr>
          <w:rFonts w:ascii="宋体" w:hAnsi="宋体"/>
          <w:b/>
          <w:bCs/>
          <w:color w:val="auto"/>
          <w:sz w:val="24"/>
          <w:szCs w:val="28"/>
          <w:highlight w:val="none"/>
        </w:rPr>
      </w:pPr>
    </w:p>
    <w:p w14:paraId="031087E5">
      <w:pPr>
        <w:jc w:val="center"/>
        <w:rPr>
          <w:rFonts w:ascii="宋体" w:hAnsi="宋体"/>
          <w:b/>
          <w:bCs/>
          <w:color w:val="auto"/>
          <w:sz w:val="24"/>
          <w:szCs w:val="28"/>
          <w:highlight w:val="none"/>
        </w:rPr>
      </w:pPr>
    </w:p>
    <w:p w14:paraId="56F2AAD4">
      <w:pPr>
        <w:jc w:val="center"/>
        <w:rPr>
          <w:rFonts w:ascii="宋体" w:hAnsi="宋体"/>
          <w:b/>
          <w:bCs/>
          <w:color w:val="auto"/>
          <w:sz w:val="24"/>
          <w:szCs w:val="28"/>
          <w:highlight w:val="none"/>
        </w:rPr>
      </w:pPr>
    </w:p>
    <w:p w14:paraId="0528BBF8">
      <w:pPr>
        <w:jc w:val="center"/>
        <w:rPr>
          <w:rFonts w:ascii="宋体" w:hAnsi="宋体"/>
          <w:b/>
          <w:bCs/>
          <w:color w:val="auto"/>
          <w:sz w:val="24"/>
          <w:szCs w:val="28"/>
          <w:highlight w:val="none"/>
        </w:rPr>
      </w:pPr>
    </w:p>
    <w:p w14:paraId="6EF592AE">
      <w:pPr>
        <w:jc w:val="center"/>
        <w:rPr>
          <w:rFonts w:ascii="宋体" w:hAnsi="宋体"/>
          <w:b/>
          <w:bCs/>
          <w:color w:val="auto"/>
          <w:sz w:val="24"/>
          <w:szCs w:val="28"/>
          <w:highlight w:val="none"/>
        </w:rPr>
      </w:pPr>
    </w:p>
    <w:p w14:paraId="2ACFED65">
      <w:pPr>
        <w:jc w:val="center"/>
        <w:rPr>
          <w:rFonts w:ascii="宋体" w:hAnsi="宋体"/>
          <w:b/>
          <w:bCs/>
          <w:color w:val="auto"/>
          <w:sz w:val="24"/>
          <w:szCs w:val="28"/>
          <w:highlight w:val="none"/>
        </w:rPr>
      </w:pPr>
    </w:p>
    <w:p w14:paraId="2C3845B1">
      <w:pPr>
        <w:jc w:val="center"/>
        <w:rPr>
          <w:rFonts w:ascii="宋体" w:hAnsi="宋体"/>
          <w:b/>
          <w:bCs/>
          <w:color w:val="auto"/>
          <w:sz w:val="24"/>
          <w:szCs w:val="28"/>
          <w:highlight w:val="none"/>
        </w:rPr>
      </w:pPr>
    </w:p>
    <w:p w14:paraId="319F9947">
      <w:pPr>
        <w:jc w:val="center"/>
        <w:rPr>
          <w:rFonts w:ascii="宋体" w:hAnsi="宋体"/>
          <w:b/>
          <w:bCs/>
          <w:color w:val="auto"/>
          <w:sz w:val="24"/>
          <w:szCs w:val="28"/>
          <w:highlight w:val="none"/>
        </w:rPr>
      </w:pPr>
    </w:p>
    <w:p w14:paraId="626666FB">
      <w:pPr>
        <w:jc w:val="center"/>
        <w:rPr>
          <w:rFonts w:ascii="宋体" w:hAnsi="宋体"/>
          <w:b/>
          <w:bCs/>
          <w:color w:val="auto"/>
          <w:sz w:val="24"/>
          <w:szCs w:val="28"/>
          <w:highlight w:val="none"/>
        </w:rPr>
      </w:pPr>
    </w:p>
    <w:p w14:paraId="2C212B19">
      <w:pPr>
        <w:jc w:val="center"/>
        <w:rPr>
          <w:rFonts w:ascii="宋体" w:hAnsi="宋体"/>
          <w:b/>
          <w:bCs/>
          <w:color w:val="auto"/>
          <w:sz w:val="24"/>
          <w:szCs w:val="28"/>
          <w:highlight w:val="none"/>
        </w:rPr>
      </w:pPr>
    </w:p>
    <w:p w14:paraId="4D1ECED6">
      <w:pPr>
        <w:jc w:val="center"/>
        <w:rPr>
          <w:rFonts w:ascii="宋体" w:hAnsi="宋体"/>
          <w:b/>
          <w:bCs/>
          <w:color w:val="auto"/>
          <w:sz w:val="24"/>
          <w:szCs w:val="28"/>
          <w:highlight w:val="none"/>
        </w:rPr>
      </w:pPr>
    </w:p>
    <w:p w14:paraId="62208A25">
      <w:pPr>
        <w:jc w:val="center"/>
        <w:rPr>
          <w:rFonts w:ascii="宋体" w:hAnsi="宋体"/>
          <w:b/>
          <w:bCs/>
          <w:color w:val="auto"/>
          <w:sz w:val="24"/>
          <w:szCs w:val="28"/>
          <w:highlight w:val="none"/>
        </w:rPr>
      </w:pPr>
    </w:p>
    <w:p w14:paraId="01550382">
      <w:pPr>
        <w:jc w:val="center"/>
        <w:rPr>
          <w:rFonts w:ascii="宋体" w:hAnsi="宋体"/>
          <w:b/>
          <w:bCs/>
          <w:color w:val="auto"/>
          <w:sz w:val="24"/>
          <w:szCs w:val="28"/>
          <w:highlight w:val="none"/>
        </w:rPr>
      </w:pPr>
    </w:p>
    <w:p w14:paraId="660B72F3">
      <w:pPr>
        <w:rPr>
          <w:rFonts w:ascii="宋体" w:hAnsi="宋体"/>
          <w:b/>
          <w:bCs/>
          <w:color w:val="auto"/>
          <w:sz w:val="24"/>
          <w:szCs w:val="28"/>
          <w:highlight w:val="none"/>
        </w:rPr>
      </w:pPr>
      <w:r>
        <w:rPr>
          <w:rFonts w:ascii="宋体" w:hAnsi="宋体"/>
          <w:b/>
          <w:bCs/>
          <w:color w:val="auto"/>
          <w:sz w:val="24"/>
          <w:szCs w:val="28"/>
          <w:highlight w:val="none"/>
        </w:rPr>
        <w:br w:type="page"/>
      </w:r>
    </w:p>
    <w:p w14:paraId="73D98192">
      <w:pPr>
        <w:jc w:val="left"/>
        <w:outlineLvl w:val="3"/>
        <w:rPr>
          <w:rFonts w:ascii="宋体" w:hAnsi="宋体"/>
          <w:b/>
          <w:bCs/>
          <w:color w:val="auto"/>
          <w:sz w:val="28"/>
          <w:szCs w:val="32"/>
          <w:highlight w:val="none"/>
        </w:rPr>
      </w:pPr>
      <w:r>
        <w:rPr>
          <w:rFonts w:hint="eastAsia" w:ascii="宋体" w:hAnsi="宋体"/>
          <w:color w:val="auto"/>
          <w:sz w:val="28"/>
          <w:szCs w:val="32"/>
          <w:highlight w:val="none"/>
        </w:rPr>
        <w:t>附件十三-1</w:t>
      </w:r>
    </w:p>
    <w:p w14:paraId="2277E100">
      <w:pPr>
        <w:jc w:val="center"/>
        <w:outlineLvl w:val="3"/>
        <w:rPr>
          <w:rFonts w:ascii="宋体" w:hAnsi="宋体"/>
          <w:b/>
          <w:bCs/>
          <w:color w:val="auto"/>
          <w:sz w:val="28"/>
          <w:szCs w:val="32"/>
          <w:highlight w:val="none"/>
        </w:rPr>
      </w:pPr>
      <w:r>
        <w:rPr>
          <w:rFonts w:hint="eastAsia" w:ascii="宋体" w:hAnsi="宋体"/>
          <w:b/>
          <w:bCs/>
          <w:color w:val="auto"/>
          <w:sz w:val="28"/>
          <w:szCs w:val="32"/>
          <w:highlight w:val="none"/>
        </w:rPr>
        <w:t>项目组人员配置一览表</w:t>
      </w:r>
    </w:p>
    <w:p w14:paraId="3D553352">
      <w:pPr>
        <w:rPr>
          <w:rFonts w:ascii="宋体" w:hAnsi="宋体"/>
          <w:color w:val="auto"/>
          <w:sz w:val="24"/>
          <w:szCs w:val="28"/>
          <w:highlight w:val="none"/>
        </w:rPr>
      </w:pPr>
    </w:p>
    <w:tbl>
      <w:tblPr>
        <w:tblStyle w:val="30"/>
        <w:tblW w:w="10054" w:type="dxa"/>
        <w:jc w:val="center"/>
        <w:tblLayout w:type="fixed"/>
        <w:tblCellMar>
          <w:top w:w="0" w:type="dxa"/>
          <w:left w:w="108" w:type="dxa"/>
          <w:bottom w:w="0" w:type="dxa"/>
          <w:right w:w="108" w:type="dxa"/>
        </w:tblCellMar>
      </w:tblPr>
      <w:tblGrid>
        <w:gridCol w:w="820"/>
        <w:gridCol w:w="1436"/>
        <w:gridCol w:w="979"/>
        <w:gridCol w:w="867"/>
        <w:gridCol w:w="1246"/>
        <w:gridCol w:w="1760"/>
        <w:gridCol w:w="1473"/>
        <w:gridCol w:w="1473"/>
      </w:tblGrid>
      <w:tr w14:paraId="22F24778">
        <w:tblPrEx>
          <w:tblCellMar>
            <w:top w:w="0" w:type="dxa"/>
            <w:left w:w="108" w:type="dxa"/>
            <w:bottom w:w="0" w:type="dxa"/>
            <w:right w:w="108" w:type="dxa"/>
          </w:tblCellMar>
        </w:tblPrEx>
        <w:trPr>
          <w:trHeight w:val="1453" w:hRule="atLeast"/>
          <w:jc w:val="center"/>
        </w:trPr>
        <w:tc>
          <w:tcPr>
            <w:tcW w:w="820" w:type="dxa"/>
            <w:tcBorders>
              <w:top w:val="single" w:color="auto" w:sz="6" w:space="0"/>
              <w:left w:val="single" w:color="auto" w:sz="6" w:space="0"/>
              <w:bottom w:val="single" w:color="auto" w:sz="6" w:space="0"/>
              <w:right w:val="single" w:color="auto" w:sz="6" w:space="0"/>
            </w:tcBorders>
            <w:noWrap/>
            <w:vAlign w:val="center"/>
          </w:tcPr>
          <w:p w14:paraId="29C88E0B">
            <w:pPr>
              <w:jc w:val="center"/>
              <w:rPr>
                <w:rFonts w:ascii="宋体" w:hAnsi="宋体" w:cs="宋体"/>
                <w:color w:val="auto"/>
                <w:sz w:val="22"/>
                <w:szCs w:val="22"/>
                <w:highlight w:val="none"/>
              </w:rPr>
            </w:pPr>
            <w:r>
              <w:rPr>
                <w:rFonts w:hint="eastAsia" w:ascii="宋体" w:hAnsi="宋体" w:cs="宋体"/>
                <w:color w:val="auto"/>
                <w:sz w:val="22"/>
                <w:szCs w:val="22"/>
                <w:highlight w:val="none"/>
              </w:rPr>
              <w:t>姓名</w:t>
            </w:r>
          </w:p>
        </w:tc>
        <w:tc>
          <w:tcPr>
            <w:tcW w:w="1436" w:type="dxa"/>
            <w:tcBorders>
              <w:top w:val="single" w:color="auto" w:sz="6" w:space="0"/>
              <w:left w:val="single" w:color="auto" w:sz="6" w:space="0"/>
              <w:bottom w:val="single" w:color="auto" w:sz="6" w:space="0"/>
              <w:right w:val="single" w:color="auto" w:sz="6" w:space="0"/>
            </w:tcBorders>
            <w:noWrap/>
            <w:vAlign w:val="center"/>
          </w:tcPr>
          <w:p w14:paraId="03F57250">
            <w:pPr>
              <w:jc w:val="center"/>
              <w:rPr>
                <w:rFonts w:ascii="宋体" w:hAnsi="宋体" w:cs="宋体"/>
                <w:color w:val="auto"/>
                <w:sz w:val="22"/>
                <w:szCs w:val="22"/>
                <w:highlight w:val="none"/>
              </w:rPr>
            </w:pPr>
            <w:r>
              <w:rPr>
                <w:rFonts w:hint="eastAsia" w:ascii="宋体" w:hAnsi="宋体" w:cs="宋体"/>
                <w:color w:val="auto"/>
                <w:sz w:val="22"/>
                <w:szCs w:val="22"/>
                <w:highlight w:val="none"/>
              </w:rPr>
              <w:t>本项目</w:t>
            </w:r>
          </w:p>
          <w:p w14:paraId="1D3025E9">
            <w:pPr>
              <w:jc w:val="center"/>
              <w:rPr>
                <w:rFonts w:ascii="宋体" w:hAnsi="宋体" w:cs="宋体"/>
                <w:color w:val="auto"/>
                <w:sz w:val="22"/>
                <w:szCs w:val="22"/>
                <w:highlight w:val="none"/>
              </w:rPr>
            </w:pPr>
            <w:r>
              <w:rPr>
                <w:rFonts w:hint="eastAsia" w:ascii="宋体" w:hAnsi="宋体" w:cs="宋体"/>
                <w:color w:val="auto"/>
                <w:sz w:val="22"/>
                <w:szCs w:val="22"/>
                <w:highlight w:val="none"/>
              </w:rPr>
              <w:t>拟任岗位</w:t>
            </w:r>
          </w:p>
        </w:tc>
        <w:tc>
          <w:tcPr>
            <w:tcW w:w="979" w:type="dxa"/>
            <w:tcBorders>
              <w:top w:val="single" w:color="auto" w:sz="6" w:space="0"/>
              <w:left w:val="single" w:color="auto" w:sz="6" w:space="0"/>
              <w:bottom w:val="single" w:color="auto" w:sz="6" w:space="0"/>
              <w:right w:val="single" w:color="auto" w:sz="6" w:space="0"/>
            </w:tcBorders>
            <w:noWrap/>
            <w:vAlign w:val="center"/>
          </w:tcPr>
          <w:p w14:paraId="23872AA9">
            <w:pPr>
              <w:jc w:val="center"/>
              <w:rPr>
                <w:rFonts w:ascii="宋体" w:hAnsi="宋体" w:cs="宋体"/>
                <w:color w:val="auto"/>
                <w:sz w:val="22"/>
                <w:szCs w:val="22"/>
                <w:highlight w:val="none"/>
              </w:rPr>
            </w:pPr>
            <w:r>
              <w:rPr>
                <w:rFonts w:hint="eastAsia" w:ascii="宋体" w:hAnsi="宋体" w:cs="宋体"/>
                <w:color w:val="auto"/>
                <w:sz w:val="22"/>
                <w:szCs w:val="22"/>
                <w:highlight w:val="none"/>
              </w:rPr>
              <w:t>年龄</w:t>
            </w:r>
          </w:p>
        </w:tc>
        <w:tc>
          <w:tcPr>
            <w:tcW w:w="867" w:type="dxa"/>
            <w:tcBorders>
              <w:top w:val="single" w:color="auto" w:sz="6" w:space="0"/>
              <w:left w:val="single" w:color="auto" w:sz="6" w:space="0"/>
              <w:bottom w:val="single" w:color="auto" w:sz="6" w:space="0"/>
              <w:right w:val="single" w:color="auto" w:sz="6" w:space="0"/>
            </w:tcBorders>
            <w:noWrap/>
            <w:vAlign w:val="center"/>
          </w:tcPr>
          <w:p w14:paraId="13858278">
            <w:pPr>
              <w:jc w:val="center"/>
              <w:rPr>
                <w:rFonts w:ascii="宋体" w:hAnsi="宋体" w:cs="宋体"/>
                <w:color w:val="auto"/>
                <w:sz w:val="22"/>
                <w:szCs w:val="22"/>
                <w:highlight w:val="none"/>
              </w:rPr>
            </w:pPr>
            <w:r>
              <w:rPr>
                <w:rFonts w:hint="eastAsia" w:ascii="宋体" w:hAnsi="宋体" w:cs="宋体"/>
                <w:color w:val="auto"/>
                <w:sz w:val="22"/>
                <w:szCs w:val="22"/>
                <w:highlight w:val="none"/>
              </w:rPr>
              <w:t>性别</w:t>
            </w:r>
          </w:p>
        </w:tc>
        <w:tc>
          <w:tcPr>
            <w:tcW w:w="1246" w:type="dxa"/>
            <w:tcBorders>
              <w:top w:val="single" w:color="auto" w:sz="6" w:space="0"/>
              <w:left w:val="single" w:color="auto" w:sz="6" w:space="0"/>
              <w:bottom w:val="single" w:color="auto" w:sz="6" w:space="0"/>
              <w:right w:val="single" w:color="auto" w:sz="6" w:space="0"/>
            </w:tcBorders>
            <w:noWrap/>
            <w:vAlign w:val="center"/>
          </w:tcPr>
          <w:p w14:paraId="7E77E8B6">
            <w:pPr>
              <w:jc w:val="center"/>
              <w:rPr>
                <w:rFonts w:ascii="宋体" w:hAnsi="宋体" w:cs="宋体"/>
                <w:color w:val="auto"/>
                <w:sz w:val="22"/>
                <w:szCs w:val="22"/>
                <w:highlight w:val="none"/>
              </w:rPr>
            </w:pPr>
            <w:r>
              <w:rPr>
                <w:rFonts w:hint="eastAsia" w:ascii="宋体" w:hAnsi="宋体" w:cs="宋体"/>
                <w:color w:val="auto"/>
                <w:sz w:val="22"/>
                <w:szCs w:val="22"/>
                <w:highlight w:val="none"/>
              </w:rPr>
              <w:t>职称/资格证书</w:t>
            </w:r>
          </w:p>
        </w:tc>
        <w:tc>
          <w:tcPr>
            <w:tcW w:w="1760" w:type="dxa"/>
            <w:tcBorders>
              <w:top w:val="single" w:color="auto" w:sz="6" w:space="0"/>
              <w:left w:val="single" w:color="auto" w:sz="6" w:space="0"/>
              <w:bottom w:val="single" w:color="auto" w:sz="6" w:space="0"/>
              <w:right w:val="single" w:color="auto" w:sz="6" w:space="0"/>
            </w:tcBorders>
            <w:noWrap/>
            <w:vAlign w:val="center"/>
          </w:tcPr>
          <w:p w14:paraId="36DF9912">
            <w:pPr>
              <w:jc w:val="center"/>
              <w:rPr>
                <w:rFonts w:ascii="宋体" w:hAnsi="宋体" w:cs="宋体"/>
                <w:color w:val="auto"/>
                <w:sz w:val="22"/>
                <w:szCs w:val="22"/>
                <w:highlight w:val="none"/>
              </w:rPr>
            </w:pPr>
            <w:r>
              <w:rPr>
                <w:rFonts w:hint="eastAsia" w:ascii="宋体" w:hAnsi="宋体" w:cs="宋体"/>
                <w:color w:val="auto"/>
                <w:sz w:val="22"/>
                <w:szCs w:val="22"/>
                <w:highlight w:val="none"/>
              </w:rPr>
              <w:t>类似</w:t>
            </w:r>
            <w:r>
              <w:rPr>
                <w:rFonts w:hint="eastAsia" w:ascii="宋体" w:hAnsi="宋体" w:cs="宋体"/>
                <w:color w:val="auto"/>
                <w:sz w:val="22"/>
                <w:szCs w:val="22"/>
                <w:highlight w:val="none"/>
                <w:lang w:val="en-US" w:eastAsia="zh-CN"/>
              </w:rPr>
              <w:t>项目经理</w:t>
            </w:r>
            <w:r>
              <w:rPr>
                <w:rFonts w:hint="eastAsia" w:ascii="宋体" w:hAnsi="宋体" w:cs="宋体"/>
                <w:color w:val="auto"/>
                <w:sz w:val="22"/>
                <w:szCs w:val="22"/>
                <w:highlight w:val="none"/>
              </w:rPr>
              <w:t>、业绩情况（或另附简历）</w:t>
            </w:r>
          </w:p>
        </w:tc>
        <w:tc>
          <w:tcPr>
            <w:tcW w:w="1473" w:type="dxa"/>
            <w:tcBorders>
              <w:top w:val="single" w:color="auto" w:sz="6" w:space="0"/>
              <w:left w:val="single" w:color="auto" w:sz="6" w:space="0"/>
              <w:bottom w:val="single" w:color="auto" w:sz="6" w:space="0"/>
              <w:right w:val="single" w:color="auto" w:sz="6" w:space="0"/>
            </w:tcBorders>
            <w:noWrap/>
            <w:vAlign w:val="center"/>
          </w:tcPr>
          <w:p w14:paraId="69176DDA">
            <w:pPr>
              <w:jc w:val="center"/>
              <w:rPr>
                <w:rFonts w:ascii="宋体" w:hAnsi="宋体" w:cs="宋体"/>
                <w:color w:val="auto"/>
                <w:sz w:val="22"/>
                <w:szCs w:val="22"/>
                <w:highlight w:val="none"/>
              </w:rPr>
            </w:pPr>
            <w:r>
              <w:rPr>
                <w:rFonts w:hint="eastAsia" w:ascii="宋体" w:hAnsi="宋体" w:cs="宋体"/>
                <w:color w:val="auto"/>
                <w:sz w:val="22"/>
                <w:szCs w:val="22"/>
                <w:highlight w:val="none"/>
              </w:rPr>
              <w:t>本单位社保时间</w:t>
            </w:r>
          </w:p>
        </w:tc>
        <w:tc>
          <w:tcPr>
            <w:tcW w:w="1473" w:type="dxa"/>
            <w:tcBorders>
              <w:top w:val="single" w:color="auto" w:sz="6" w:space="0"/>
              <w:left w:val="single" w:color="auto" w:sz="6" w:space="0"/>
              <w:bottom w:val="single" w:color="auto" w:sz="6" w:space="0"/>
              <w:right w:val="single" w:color="auto" w:sz="6" w:space="0"/>
            </w:tcBorders>
            <w:noWrap/>
            <w:vAlign w:val="center"/>
          </w:tcPr>
          <w:p w14:paraId="1EFF0B43">
            <w:pPr>
              <w:jc w:val="center"/>
              <w:rPr>
                <w:rFonts w:ascii="宋体" w:hAnsi="宋体" w:cs="宋体"/>
                <w:color w:val="auto"/>
                <w:sz w:val="22"/>
                <w:szCs w:val="22"/>
                <w:highlight w:val="none"/>
              </w:rPr>
            </w:pPr>
            <w:r>
              <w:rPr>
                <w:rFonts w:hint="eastAsia" w:ascii="宋体" w:hAnsi="宋体" w:cs="宋体"/>
                <w:color w:val="auto"/>
                <w:sz w:val="22"/>
                <w:szCs w:val="22"/>
                <w:highlight w:val="none"/>
              </w:rPr>
              <w:t>备注</w:t>
            </w:r>
          </w:p>
        </w:tc>
      </w:tr>
      <w:tr w14:paraId="0CAF760A">
        <w:tblPrEx>
          <w:tblCellMar>
            <w:top w:w="0" w:type="dxa"/>
            <w:left w:w="108" w:type="dxa"/>
            <w:bottom w:w="0" w:type="dxa"/>
            <w:right w:w="108" w:type="dxa"/>
          </w:tblCellMar>
        </w:tblPrEx>
        <w:trPr>
          <w:trHeight w:val="798" w:hRule="atLeast"/>
          <w:jc w:val="center"/>
        </w:trPr>
        <w:tc>
          <w:tcPr>
            <w:tcW w:w="820" w:type="dxa"/>
            <w:tcBorders>
              <w:top w:val="single" w:color="auto" w:sz="6" w:space="0"/>
              <w:left w:val="single" w:color="auto" w:sz="6" w:space="0"/>
              <w:bottom w:val="single" w:color="auto" w:sz="6" w:space="0"/>
              <w:right w:val="single" w:color="auto" w:sz="6" w:space="0"/>
            </w:tcBorders>
            <w:noWrap/>
            <w:vAlign w:val="center"/>
          </w:tcPr>
          <w:p w14:paraId="0F1C0A6C">
            <w:pPr>
              <w:jc w:val="center"/>
              <w:rPr>
                <w:rFonts w:ascii="宋体" w:hAnsi="宋体" w:cs="宋体"/>
                <w:color w:val="auto"/>
                <w:sz w:val="22"/>
                <w:szCs w:val="22"/>
                <w:highlight w:val="none"/>
                <w:lang w:val="zh-CN"/>
              </w:rPr>
            </w:pPr>
          </w:p>
        </w:tc>
        <w:tc>
          <w:tcPr>
            <w:tcW w:w="1436" w:type="dxa"/>
            <w:tcBorders>
              <w:top w:val="single" w:color="auto" w:sz="6" w:space="0"/>
              <w:left w:val="single" w:color="auto" w:sz="6" w:space="0"/>
              <w:bottom w:val="single" w:color="auto" w:sz="6" w:space="0"/>
              <w:right w:val="single" w:color="auto" w:sz="6" w:space="0"/>
            </w:tcBorders>
            <w:noWrap/>
            <w:vAlign w:val="center"/>
          </w:tcPr>
          <w:p w14:paraId="3B829312">
            <w:pPr>
              <w:jc w:val="center"/>
              <w:rPr>
                <w:rFonts w:ascii="宋体" w:hAnsi="宋体" w:cs="宋体"/>
                <w:color w:val="auto"/>
                <w:sz w:val="22"/>
                <w:szCs w:val="22"/>
                <w:highlight w:val="none"/>
                <w:lang w:val="zh-CN"/>
              </w:rPr>
            </w:pPr>
          </w:p>
        </w:tc>
        <w:tc>
          <w:tcPr>
            <w:tcW w:w="979" w:type="dxa"/>
            <w:tcBorders>
              <w:top w:val="single" w:color="auto" w:sz="6" w:space="0"/>
              <w:left w:val="single" w:color="auto" w:sz="6" w:space="0"/>
              <w:bottom w:val="single" w:color="auto" w:sz="6" w:space="0"/>
              <w:right w:val="single" w:color="auto" w:sz="6" w:space="0"/>
            </w:tcBorders>
            <w:noWrap/>
            <w:vAlign w:val="center"/>
          </w:tcPr>
          <w:p w14:paraId="69E77E4C">
            <w:pPr>
              <w:jc w:val="center"/>
              <w:rPr>
                <w:rFonts w:ascii="宋体" w:hAnsi="宋体" w:cs="宋体"/>
                <w:color w:val="auto"/>
                <w:sz w:val="22"/>
                <w:szCs w:val="22"/>
                <w:highlight w:val="none"/>
                <w:lang w:val="zh-CN"/>
              </w:rPr>
            </w:pPr>
          </w:p>
        </w:tc>
        <w:tc>
          <w:tcPr>
            <w:tcW w:w="867" w:type="dxa"/>
            <w:tcBorders>
              <w:top w:val="single" w:color="auto" w:sz="6" w:space="0"/>
              <w:left w:val="single" w:color="auto" w:sz="6" w:space="0"/>
              <w:bottom w:val="single" w:color="auto" w:sz="6" w:space="0"/>
              <w:right w:val="single" w:color="auto" w:sz="6" w:space="0"/>
            </w:tcBorders>
            <w:noWrap/>
            <w:vAlign w:val="center"/>
          </w:tcPr>
          <w:p w14:paraId="77C267CF">
            <w:pPr>
              <w:jc w:val="center"/>
              <w:rPr>
                <w:rFonts w:ascii="宋体" w:hAnsi="宋体" w:cs="宋体"/>
                <w:color w:val="auto"/>
                <w:sz w:val="22"/>
                <w:szCs w:val="22"/>
                <w:highlight w:val="none"/>
                <w:lang w:val="zh-CN"/>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6F068BE6">
            <w:pPr>
              <w:jc w:val="center"/>
              <w:rPr>
                <w:rFonts w:ascii="宋体" w:hAnsi="宋体" w:cs="宋体"/>
                <w:color w:val="auto"/>
                <w:sz w:val="22"/>
                <w:szCs w:val="22"/>
                <w:highlight w:val="none"/>
                <w:lang w:val="zh-CN"/>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6ACB5C21">
            <w:pPr>
              <w:jc w:val="center"/>
              <w:rPr>
                <w:rFonts w:ascii="宋体" w:hAnsi="宋体" w:cs="宋体"/>
                <w:color w:val="auto"/>
                <w:sz w:val="22"/>
                <w:szCs w:val="22"/>
                <w:highlight w:val="none"/>
                <w:lang w:val="zh-CN"/>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7CBD07B4">
            <w:pPr>
              <w:jc w:val="center"/>
              <w:rPr>
                <w:rFonts w:ascii="宋体" w:hAnsi="宋体" w:cs="宋体"/>
                <w:color w:val="auto"/>
                <w:sz w:val="22"/>
                <w:szCs w:val="22"/>
                <w:highlight w:val="none"/>
                <w:lang w:val="zh-CN"/>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2B5C400E">
            <w:pPr>
              <w:jc w:val="center"/>
              <w:rPr>
                <w:rFonts w:ascii="宋体" w:hAnsi="宋体" w:cs="宋体"/>
                <w:color w:val="auto"/>
                <w:sz w:val="22"/>
                <w:szCs w:val="22"/>
                <w:highlight w:val="none"/>
                <w:lang w:val="zh-CN"/>
              </w:rPr>
            </w:pPr>
          </w:p>
        </w:tc>
      </w:tr>
      <w:tr w14:paraId="6743D7D4">
        <w:tblPrEx>
          <w:tblCellMar>
            <w:top w:w="0" w:type="dxa"/>
            <w:left w:w="108" w:type="dxa"/>
            <w:bottom w:w="0" w:type="dxa"/>
            <w:right w:w="108" w:type="dxa"/>
          </w:tblCellMar>
        </w:tblPrEx>
        <w:trPr>
          <w:trHeight w:val="836" w:hRule="atLeast"/>
          <w:jc w:val="center"/>
        </w:trPr>
        <w:tc>
          <w:tcPr>
            <w:tcW w:w="820" w:type="dxa"/>
            <w:tcBorders>
              <w:top w:val="single" w:color="auto" w:sz="6" w:space="0"/>
              <w:left w:val="single" w:color="auto" w:sz="6" w:space="0"/>
              <w:bottom w:val="single" w:color="auto" w:sz="6" w:space="0"/>
              <w:right w:val="single" w:color="auto" w:sz="6" w:space="0"/>
            </w:tcBorders>
            <w:noWrap/>
            <w:vAlign w:val="center"/>
          </w:tcPr>
          <w:p w14:paraId="4471C0AC">
            <w:pPr>
              <w:jc w:val="center"/>
              <w:rPr>
                <w:rFonts w:ascii="宋体" w:hAnsi="宋体" w:cs="宋体"/>
                <w:color w:val="auto"/>
                <w:sz w:val="22"/>
                <w:szCs w:val="22"/>
                <w:highlight w:val="none"/>
              </w:rPr>
            </w:pPr>
          </w:p>
        </w:tc>
        <w:tc>
          <w:tcPr>
            <w:tcW w:w="1436" w:type="dxa"/>
            <w:tcBorders>
              <w:top w:val="single" w:color="auto" w:sz="6" w:space="0"/>
              <w:left w:val="single" w:color="auto" w:sz="6" w:space="0"/>
              <w:bottom w:val="single" w:color="auto" w:sz="6" w:space="0"/>
              <w:right w:val="single" w:color="auto" w:sz="6" w:space="0"/>
            </w:tcBorders>
            <w:noWrap/>
            <w:vAlign w:val="center"/>
          </w:tcPr>
          <w:p w14:paraId="633C51BD">
            <w:pPr>
              <w:jc w:val="center"/>
              <w:rPr>
                <w:rFonts w:ascii="宋体" w:hAnsi="宋体" w:cs="宋体"/>
                <w:color w:val="auto"/>
                <w:sz w:val="22"/>
                <w:szCs w:val="22"/>
                <w:highlight w:val="none"/>
              </w:rPr>
            </w:pPr>
          </w:p>
        </w:tc>
        <w:tc>
          <w:tcPr>
            <w:tcW w:w="979" w:type="dxa"/>
            <w:tcBorders>
              <w:top w:val="single" w:color="auto" w:sz="6" w:space="0"/>
              <w:left w:val="single" w:color="auto" w:sz="6" w:space="0"/>
              <w:bottom w:val="single" w:color="auto" w:sz="6" w:space="0"/>
              <w:right w:val="single" w:color="auto" w:sz="6" w:space="0"/>
            </w:tcBorders>
            <w:noWrap/>
            <w:vAlign w:val="center"/>
          </w:tcPr>
          <w:p w14:paraId="74F8B9CA">
            <w:pPr>
              <w:jc w:val="center"/>
              <w:rPr>
                <w:rFonts w:ascii="宋体" w:hAnsi="宋体" w:cs="宋体"/>
                <w:color w:val="auto"/>
                <w:sz w:val="22"/>
                <w:szCs w:val="22"/>
                <w:highlight w:val="none"/>
              </w:rPr>
            </w:pPr>
          </w:p>
        </w:tc>
        <w:tc>
          <w:tcPr>
            <w:tcW w:w="867" w:type="dxa"/>
            <w:tcBorders>
              <w:top w:val="single" w:color="auto" w:sz="6" w:space="0"/>
              <w:left w:val="single" w:color="auto" w:sz="6" w:space="0"/>
              <w:bottom w:val="single" w:color="auto" w:sz="6" w:space="0"/>
              <w:right w:val="single" w:color="auto" w:sz="6" w:space="0"/>
            </w:tcBorders>
            <w:noWrap/>
            <w:vAlign w:val="center"/>
          </w:tcPr>
          <w:p w14:paraId="08E53F92">
            <w:pPr>
              <w:jc w:val="center"/>
              <w:rPr>
                <w:rFonts w:ascii="宋体" w:hAnsi="宋体" w:cs="宋体"/>
                <w:color w:val="auto"/>
                <w:sz w:val="22"/>
                <w:szCs w:val="22"/>
                <w:highlight w:val="none"/>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153E7015">
            <w:pPr>
              <w:jc w:val="center"/>
              <w:rPr>
                <w:rFonts w:ascii="宋体" w:hAnsi="宋体" w:cs="宋体"/>
                <w:color w:val="auto"/>
                <w:sz w:val="22"/>
                <w:szCs w:val="22"/>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10845836">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12B4D842">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6915C311">
            <w:pPr>
              <w:jc w:val="center"/>
              <w:rPr>
                <w:rFonts w:ascii="宋体" w:hAnsi="宋体" w:cs="宋体"/>
                <w:color w:val="auto"/>
                <w:sz w:val="22"/>
                <w:szCs w:val="22"/>
                <w:highlight w:val="none"/>
              </w:rPr>
            </w:pPr>
          </w:p>
        </w:tc>
      </w:tr>
      <w:tr w14:paraId="68F84987">
        <w:tblPrEx>
          <w:tblCellMar>
            <w:top w:w="0" w:type="dxa"/>
            <w:left w:w="108" w:type="dxa"/>
            <w:bottom w:w="0" w:type="dxa"/>
            <w:right w:w="108" w:type="dxa"/>
          </w:tblCellMar>
        </w:tblPrEx>
        <w:trPr>
          <w:trHeight w:val="798" w:hRule="atLeast"/>
          <w:jc w:val="center"/>
        </w:trPr>
        <w:tc>
          <w:tcPr>
            <w:tcW w:w="820" w:type="dxa"/>
            <w:tcBorders>
              <w:top w:val="single" w:color="auto" w:sz="6" w:space="0"/>
              <w:left w:val="single" w:color="auto" w:sz="6" w:space="0"/>
              <w:bottom w:val="single" w:color="auto" w:sz="6" w:space="0"/>
              <w:right w:val="single" w:color="auto" w:sz="6" w:space="0"/>
            </w:tcBorders>
            <w:noWrap/>
            <w:vAlign w:val="center"/>
          </w:tcPr>
          <w:p w14:paraId="6EF45032">
            <w:pPr>
              <w:jc w:val="center"/>
              <w:rPr>
                <w:rFonts w:ascii="宋体" w:hAnsi="宋体" w:cs="宋体"/>
                <w:color w:val="auto"/>
                <w:sz w:val="22"/>
                <w:szCs w:val="22"/>
                <w:highlight w:val="none"/>
              </w:rPr>
            </w:pPr>
          </w:p>
        </w:tc>
        <w:tc>
          <w:tcPr>
            <w:tcW w:w="1436" w:type="dxa"/>
            <w:tcBorders>
              <w:top w:val="single" w:color="auto" w:sz="6" w:space="0"/>
              <w:left w:val="single" w:color="auto" w:sz="6" w:space="0"/>
              <w:bottom w:val="single" w:color="auto" w:sz="6" w:space="0"/>
              <w:right w:val="single" w:color="auto" w:sz="6" w:space="0"/>
            </w:tcBorders>
            <w:noWrap/>
            <w:vAlign w:val="center"/>
          </w:tcPr>
          <w:p w14:paraId="7CA81B52">
            <w:pPr>
              <w:jc w:val="center"/>
              <w:rPr>
                <w:rFonts w:ascii="宋体" w:hAnsi="宋体" w:cs="宋体"/>
                <w:color w:val="auto"/>
                <w:sz w:val="22"/>
                <w:szCs w:val="22"/>
                <w:highlight w:val="none"/>
              </w:rPr>
            </w:pPr>
          </w:p>
        </w:tc>
        <w:tc>
          <w:tcPr>
            <w:tcW w:w="979" w:type="dxa"/>
            <w:tcBorders>
              <w:top w:val="single" w:color="auto" w:sz="6" w:space="0"/>
              <w:left w:val="single" w:color="auto" w:sz="6" w:space="0"/>
              <w:bottom w:val="single" w:color="auto" w:sz="6" w:space="0"/>
              <w:right w:val="single" w:color="auto" w:sz="6" w:space="0"/>
            </w:tcBorders>
            <w:noWrap/>
            <w:vAlign w:val="center"/>
          </w:tcPr>
          <w:p w14:paraId="7E8C52F7">
            <w:pPr>
              <w:jc w:val="center"/>
              <w:rPr>
                <w:rFonts w:ascii="宋体" w:hAnsi="宋体" w:cs="宋体"/>
                <w:color w:val="auto"/>
                <w:sz w:val="22"/>
                <w:szCs w:val="22"/>
                <w:highlight w:val="none"/>
              </w:rPr>
            </w:pPr>
          </w:p>
        </w:tc>
        <w:tc>
          <w:tcPr>
            <w:tcW w:w="867" w:type="dxa"/>
            <w:tcBorders>
              <w:top w:val="single" w:color="auto" w:sz="6" w:space="0"/>
              <w:left w:val="single" w:color="auto" w:sz="6" w:space="0"/>
              <w:bottom w:val="single" w:color="auto" w:sz="6" w:space="0"/>
              <w:right w:val="single" w:color="auto" w:sz="6" w:space="0"/>
            </w:tcBorders>
            <w:noWrap/>
            <w:vAlign w:val="center"/>
          </w:tcPr>
          <w:p w14:paraId="43AEC742">
            <w:pPr>
              <w:jc w:val="center"/>
              <w:rPr>
                <w:rFonts w:ascii="宋体" w:hAnsi="宋体" w:cs="宋体"/>
                <w:color w:val="auto"/>
                <w:sz w:val="22"/>
                <w:szCs w:val="22"/>
                <w:highlight w:val="none"/>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0D4C81F3">
            <w:pPr>
              <w:jc w:val="center"/>
              <w:rPr>
                <w:rFonts w:ascii="宋体" w:hAnsi="宋体" w:cs="宋体"/>
                <w:color w:val="auto"/>
                <w:sz w:val="22"/>
                <w:szCs w:val="22"/>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7C1102F4">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59A515EA">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36E30EA0">
            <w:pPr>
              <w:jc w:val="center"/>
              <w:rPr>
                <w:rFonts w:ascii="宋体" w:hAnsi="宋体" w:cs="宋体"/>
                <w:color w:val="auto"/>
                <w:sz w:val="22"/>
                <w:szCs w:val="22"/>
                <w:highlight w:val="none"/>
              </w:rPr>
            </w:pPr>
          </w:p>
        </w:tc>
      </w:tr>
      <w:tr w14:paraId="775E757B">
        <w:tblPrEx>
          <w:tblCellMar>
            <w:top w:w="0" w:type="dxa"/>
            <w:left w:w="108" w:type="dxa"/>
            <w:bottom w:w="0" w:type="dxa"/>
            <w:right w:w="108" w:type="dxa"/>
          </w:tblCellMar>
        </w:tblPrEx>
        <w:trPr>
          <w:trHeight w:val="798" w:hRule="atLeast"/>
          <w:jc w:val="center"/>
        </w:trPr>
        <w:tc>
          <w:tcPr>
            <w:tcW w:w="820" w:type="dxa"/>
            <w:tcBorders>
              <w:top w:val="single" w:color="auto" w:sz="6" w:space="0"/>
              <w:left w:val="single" w:color="auto" w:sz="6" w:space="0"/>
              <w:bottom w:val="single" w:color="auto" w:sz="6" w:space="0"/>
              <w:right w:val="single" w:color="auto" w:sz="6" w:space="0"/>
            </w:tcBorders>
            <w:noWrap/>
            <w:vAlign w:val="center"/>
          </w:tcPr>
          <w:p w14:paraId="11C6C611">
            <w:pPr>
              <w:jc w:val="center"/>
              <w:rPr>
                <w:rFonts w:ascii="宋体" w:hAnsi="宋体" w:cs="宋体"/>
                <w:color w:val="auto"/>
                <w:sz w:val="22"/>
                <w:szCs w:val="22"/>
                <w:highlight w:val="none"/>
              </w:rPr>
            </w:pPr>
          </w:p>
        </w:tc>
        <w:tc>
          <w:tcPr>
            <w:tcW w:w="1436" w:type="dxa"/>
            <w:tcBorders>
              <w:top w:val="single" w:color="auto" w:sz="6" w:space="0"/>
              <w:left w:val="single" w:color="auto" w:sz="6" w:space="0"/>
              <w:bottom w:val="single" w:color="auto" w:sz="6" w:space="0"/>
              <w:right w:val="single" w:color="auto" w:sz="6" w:space="0"/>
            </w:tcBorders>
            <w:noWrap/>
            <w:vAlign w:val="center"/>
          </w:tcPr>
          <w:p w14:paraId="00B53F86">
            <w:pPr>
              <w:jc w:val="center"/>
              <w:rPr>
                <w:rFonts w:ascii="宋体" w:hAnsi="宋体" w:cs="宋体"/>
                <w:color w:val="auto"/>
                <w:sz w:val="22"/>
                <w:szCs w:val="22"/>
                <w:highlight w:val="none"/>
              </w:rPr>
            </w:pPr>
          </w:p>
        </w:tc>
        <w:tc>
          <w:tcPr>
            <w:tcW w:w="979" w:type="dxa"/>
            <w:tcBorders>
              <w:top w:val="single" w:color="auto" w:sz="6" w:space="0"/>
              <w:left w:val="single" w:color="auto" w:sz="6" w:space="0"/>
              <w:bottom w:val="single" w:color="auto" w:sz="6" w:space="0"/>
              <w:right w:val="single" w:color="auto" w:sz="6" w:space="0"/>
            </w:tcBorders>
            <w:noWrap/>
            <w:vAlign w:val="center"/>
          </w:tcPr>
          <w:p w14:paraId="63FED8FD">
            <w:pPr>
              <w:jc w:val="center"/>
              <w:rPr>
                <w:rFonts w:ascii="宋体" w:hAnsi="宋体" w:cs="宋体"/>
                <w:color w:val="auto"/>
                <w:sz w:val="22"/>
                <w:szCs w:val="22"/>
                <w:highlight w:val="none"/>
              </w:rPr>
            </w:pPr>
          </w:p>
        </w:tc>
        <w:tc>
          <w:tcPr>
            <w:tcW w:w="867" w:type="dxa"/>
            <w:tcBorders>
              <w:top w:val="single" w:color="auto" w:sz="6" w:space="0"/>
              <w:left w:val="single" w:color="auto" w:sz="6" w:space="0"/>
              <w:bottom w:val="single" w:color="auto" w:sz="6" w:space="0"/>
              <w:right w:val="single" w:color="auto" w:sz="6" w:space="0"/>
            </w:tcBorders>
            <w:noWrap/>
            <w:vAlign w:val="center"/>
          </w:tcPr>
          <w:p w14:paraId="58A24BDC">
            <w:pPr>
              <w:jc w:val="center"/>
              <w:rPr>
                <w:rFonts w:ascii="宋体" w:hAnsi="宋体" w:cs="宋体"/>
                <w:color w:val="auto"/>
                <w:sz w:val="22"/>
                <w:szCs w:val="22"/>
                <w:highlight w:val="none"/>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41061EF6">
            <w:pPr>
              <w:jc w:val="center"/>
              <w:rPr>
                <w:rFonts w:ascii="宋体" w:hAnsi="宋体" w:cs="宋体"/>
                <w:color w:val="auto"/>
                <w:sz w:val="22"/>
                <w:szCs w:val="22"/>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1D816F2A">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007F5A22">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6B9B5BCD">
            <w:pPr>
              <w:jc w:val="center"/>
              <w:rPr>
                <w:rFonts w:ascii="宋体" w:hAnsi="宋体" w:cs="宋体"/>
                <w:color w:val="auto"/>
                <w:sz w:val="22"/>
                <w:szCs w:val="22"/>
                <w:highlight w:val="none"/>
              </w:rPr>
            </w:pPr>
          </w:p>
        </w:tc>
      </w:tr>
      <w:tr w14:paraId="59D4BE75">
        <w:tblPrEx>
          <w:tblCellMar>
            <w:top w:w="0" w:type="dxa"/>
            <w:left w:w="108" w:type="dxa"/>
            <w:bottom w:w="0" w:type="dxa"/>
            <w:right w:w="108" w:type="dxa"/>
          </w:tblCellMar>
        </w:tblPrEx>
        <w:trPr>
          <w:trHeight w:val="836" w:hRule="atLeast"/>
          <w:jc w:val="center"/>
        </w:trPr>
        <w:tc>
          <w:tcPr>
            <w:tcW w:w="820" w:type="dxa"/>
            <w:tcBorders>
              <w:top w:val="single" w:color="auto" w:sz="6" w:space="0"/>
              <w:left w:val="single" w:color="auto" w:sz="6" w:space="0"/>
              <w:bottom w:val="single" w:color="auto" w:sz="6" w:space="0"/>
              <w:right w:val="single" w:color="auto" w:sz="6" w:space="0"/>
            </w:tcBorders>
            <w:noWrap/>
            <w:vAlign w:val="center"/>
          </w:tcPr>
          <w:p w14:paraId="02CEB578">
            <w:pPr>
              <w:jc w:val="center"/>
              <w:rPr>
                <w:rFonts w:ascii="宋体" w:hAnsi="宋体" w:cs="宋体"/>
                <w:color w:val="auto"/>
                <w:sz w:val="22"/>
                <w:szCs w:val="22"/>
                <w:highlight w:val="none"/>
              </w:rPr>
            </w:pPr>
          </w:p>
        </w:tc>
        <w:tc>
          <w:tcPr>
            <w:tcW w:w="1436" w:type="dxa"/>
            <w:tcBorders>
              <w:top w:val="single" w:color="auto" w:sz="6" w:space="0"/>
              <w:left w:val="single" w:color="auto" w:sz="6" w:space="0"/>
              <w:bottom w:val="single" w:color="auto" w:sz="6" w:space="0"/>
              <w:right w:val="single" w:color="auto" w:sz="6" w:space="0"/>
            </w:tcBorders>
            <w:noWrap/>
            <w:vAlign w:val="center"/>
          </w:tcPr>
          <w:p w14:paraId="00EE14FF">
            <w:pPr>
              <w:jc w:val="center"/>
              <w:rPr>
                <w:rFonts w:ascii="宋体" w:hAnsi="宋体" w:cs="宋体"/>
                <w:color w:val="auto"/>
                <w:sz w:val="22"/>
                <w:szCs w:val="22"/>
                <w:highlight w:val="none"/>
              </w:rPr>
            </w:pPr>
          </w:p>
        </w:tc>
        <w:tc>
          <w:tcPr>
            <w:tcW w:w="979" w:type="dxa"/>
            <w:tcBorders>
              <w:top w:val="single" w:color="auto" w:sz="6" w:space="0"/>
              <w:left w:val="single" w:color="auto" w:sz="6" w:space="0"/>
              <w:bottom w:val="single" w:color="auto" w:sz="6" w:space="0"/>
              <w:right w:val="single" w:color="auto" w:sz="6" w:space="0"/>
            </w:tcBorders>
            <w:noWrap/>
            <w:vAlign w:val="center"/>
          </w:tcPr>
          <w:p w14:paraId="7E06CC88">
            <w:pPr>
              <w:jc w:val="center"/>
              <w:rPr>
                <w:rFonts w:ascii="宋体" w:hAnsi="宋体" w:cs="宋体"/>
                <w:color w:val="auto"/>
                <w:sz w:val="22"/>
                <w:szCs w:val="22"/>
                <w:highlight w:val="none"/>
              </w:rPr>
            </w:pPr>
          </w:p>
        </w:tc>
        <w:tc>
          <w:tcPr>
            <w:tcW w:w="867" w:type="dxa"/>
            <w:tcBorders>
              <w:top w:val="single" w:color="auto" w:sz="6" w:space="0"/>
              <w:left w:val="single" w:color="auto" w:sz="6" w:space="0"/>
              <w:bottom w:val="single" w:color="auto" w:sz="6" w:space="0"/>
              <w:right w:val="single" w:color="auto" w:sz="6" w:space="0"/>
            </w:tcBorders>
            <w:noWrap/>
            <w:vAlign w:val="center"/>
          </w:tcPr>
          <w:p w14:paraId="209C8A4F">
            <w:pPr>
              <w:jc w:val="center"/>
              <w:rPr>
                <w:rFonts w:ascii="宋体" w:hAnsi="宋体" w:cs="宋体"/>
                <w:color w:val="auto"/>
                <w:sz w:val="22"/>
                <w:szCs w:val="22"/>
                <w:highlight w:val="none"/>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1705DD2A">
            <w:pPr>
              <w:jc w:val="center"/>
              <w:rPr>
                <w:rFonts w:ascii="宋体" w:hAnsi="宋体" w:cs="宋体"/>
                <w:color w:val="auto"/>
                <w:sz w:val="22"/>
                <w:szCs w:val="22"/>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27DFF683">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5B6DD472">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26D4485C">
            <w:pPr>
              <w:jc w:val="center"/>
              <w:rPr>
                <w:rFonts w:ascii="宋体" w:hAnsi="宋体" w:cs="宋体"/>
                <w:color w:val="auto"/>
                <w:sz w:val="22"/>
                <w:szCs w:val="22"/>
                <w:highlight w:val="none"/>
              </w:rPr>
            </w:pPr>
          </w:p>
        </w:tc>
      </w:tr>
      <w:tr w14:paraId="4B88F651">
        <w:tblPrEx>
          <w:tblCellMar>
            <w:top w:w="0" w:type="dxa"/>
            <w:left w:w="108" w:type="dxa"/>
            <w:bottom w:w="0" w:type="dxa"/>
            <w:right w:w="108" w:type="dxa"/>
          </w:tblCellMar>
        </w:tblPrEx>
        <w:trPr>
          <w:trHeight w:val="798" w:hRule="atLeast"/>
          <w:jc w:val="center"/>
        </w:trPr>
        <w:tc>
          <w:tcPr>
            <w:tcW w:w="820" w:type="dxa"/>
            <w:tcBorders>
              <w:top w:val="single" w:color="auto" w:sz="6" w:space="0"/>
              <w:left w:val="single" w:color="auto" w:sz="6" w:space="0"/>
              <w:bottom w:val="single" w:color="auto" w:sz="6" w:space="0"/>
              <w:right w:val="single" w:color="auto" w:sz="6" w:space="0"/>
            </w:tcBorders>
            <w:noWrap/>
            <w:vAlign w:val="center"/>
          </w:tcPr>
          <w:p w14:paraId="22BDDC8D">
            <w:pPr>
              <w:jc w:val="center"/>
              <w:rPr>
                <w:rFonts w:ascii="宋体" w:hAnsi="宋体" w:cs="宋体"/>
                <w:color w:val="auto"/>
                <w:sz w:val="22"/>
                <w:szCs w:val="22"/>
                <w:highlight w:val="none"/>
              </w:rPr>
            </w:pPr>
          </w:p>
        </w:tc>
        <w:tc>
          <w:tcPr>
            <w:tcW w:w="1436" w:type="dxa"/>
            <w:tcBorders>
              <w:top w:val="single" w:color="auto" w:sz="6" w:space="0"/>
              <w:left w:val="single" w:color="auto" w:sz="6" w:space="0"/>
              <w:bottom w:val="single" w:color="auto" w:sz="6" w:space="0"/>
              <w:right w:val="single" w:color="auto" w:sz="6" w:space="0"/>
            </w:tcBorders>
            <w:noWrap/>
            <w:vAlign w:val="center"/>
          </w:tcPr>
          <w:p w14:paraId="3321F0AC">
            <w:pPr>
              <w:jc w:val="center"/>
              <w:rPr>
                <w:rFonts w:ascii="宋体" w:hAnsi="宋体" w:cs="宋体"/>
                <w:color w:val="auto"/>
                <w:sz w:val="22"/>
                <w:szCs w:val="22"/>
                <w:highlight w:val="none"/>
              </w:rPr>
            </w:pPr>
          </w:p>
        </w:tc>
        <w:tc>
          <w:tcPr>
            <w:tcW w:w="979" w:type="dxa"/>
            <w:tcBorders>
              <w:top w:val="single" w:color="auto" w:sz="6" w:space="0"/>
              <w:left w:val="single" w:color="auto" w:sz="6" w:space="0"/>
              <w:bottom w:val="single" w:color="auto" w:sz="6" w:space="0"/>
              <w:right w:val="single" w:color="auto" w:sz="6" w:space="0"/>
            </w:tcBorders>
            <w:noWrap/>
            <w:vAlign w:val="center"/>
          </w:tcPr>
          <w:p w14:paraId="0AE3D04D">
            <w:pPr>
              <w:jc w:val="center"/>
              <w:rPr>
                <w:rFonts w:ascii="宋体" w:hAnsi="宋体" w:cs="宋体"/>
                <w:color w:val="auto"/>
                <w:sz w:val="22"/>
                <w:szCs w:val="22"/>
                <w:highlight w:val="none"/>
              </w:rPr>
            </w:pPr>
          </w:p>
        </w:tc>
        <w:tc>
          <w:tcPr>
            <w:tcW w:w="867" w:type="dxa"/>
            <w:tcBorders>
              <w:top w:val="single" w:color="auto" w:sz="6" w:space="0"/>
              <w:left w:val="single" w:color="auto" w:sz="6" w:space="0"/>
              <w:bottom w:val="single" w:color="auto" w:sz="6" w:space="0"/>
              <w:right w:val="single" w:color="auto" w:sz="6" w:space="0"/>
            </w:tcBorders>
            <w:noWrap/>
            <w:vAlign w:val="center"/>
          </w:tcPr>
          <w:p w14:paraId="536E5C13">
            <w:pPr>
              <w:jc w:val="center"/>
              <w:rPr>
                <w:rFonts w:ascii="宋体" w:hAnsi="宋体" w:cs="宋体"/>
                <w:color w:val="auto"/>
                <w:sz w:val="22"/>
                <w:szCs w:val="22"/>
                <w:highlight w:val="none"/>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5945E27C">
            <w:pPr>
              <w:jc w:val="center"/>
              <w:rPr>
                <w:rFonts w:ascii="宋体" w:hAnsi="宋体" w:cs="宋体"/>
                <w:color w:val="auto"/>
                <w:sz w:val="22"/>
                <w:szCs w:val="22"/>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1B11241D">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2EE3994A">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47B2C708">
            <w:pPr>
              <w:jc w:val="center"/>
              <w:rPr>
                <w:rFonts w:ascii="宋体" w:hAnsi="宋体" w:cs="宋体"/>
                <w:color w:val="auto"/>
                <w:sz w:val="22"/>
                <w:szCs w:val="22"/>
                <w:highlight w:val="none"/>
              </w:rPr>
            </w:pPr>
          </w:p>
        </w:tc>
      </w:tr>
      <w:tr w14:paraId="6AFC82F1">
        <w:tblPrEx>
          <w:tblCellMar>
            <w:top w:w="0" w:type="dxa"/>
            <w:left w:w="108" w:type="dxa"/>
            <w:bottom w:w="0" w:type="dxa"/>
            <w:right w:w="108" w:type="dxa"/>
          </w:tblCellMar>
        </w:tblPrEx>
        <w:trPr>
          <w:trHeight w:val="836" w:hRule="atLeast"/>
          <w:jc w:val="center"/>
        </w:trPr>
        <w:tc>
          <w:tcPr>
            <w:tcW w:w="820" w:type="dxa"/>
            <w:tcBorders>
              <w:top w:val="single" w:color="auto" w:sz="6" w:space="0"/>
              <w:left w:val="single" w:color="auto" w:sz="6" w:space="0"/>
              <w:bottom w:val="single" w:color="auto" w:sz="6" w:space="0"/>
              <w:right w:val="single" w:color="auto" w:sz="6" w:space="0"/>
            </w:tcBorders>
            <w:noWrap/>
            <w:vAlign w:val="center"/>
          </w:tcPr>
          <w:p w14:paraId="1F6AE78C">
            <w:pPr>
              <w:jc w:val="center"/>
              <w:rPr>
                <w:rFonts w:ascii="宋体" w:hAnsi="宋体" w:cs="宋体"/>
                <w:color w:val="auto"/>
                <w:sz w:val="22"/>
                <w:szCs w:val="22"/>
                <w:highlight w:val="none"/>
              </w:rPr>
            </w:pPr>
          </w:p>
        </w:tc>
        <w:tc>
          <w:tcPr>
            <w:tcW w:w="1436" w:type="dxa"/>
            <w:tcBorders>
              <w:top w:val="single" w:color="auto" w:sz="6" w:space="0"/>
              <w:left w:val="single" w:color="auto" w:sz="6" w:space="0"/>
              <w:bottom w:val="single" w:color="auto" w:sz="6" w:space="0"/>
              <w:right w:val="single" w:color="auto" w:sz="6" w:space="0"/>
            </w:tcBorders>
            <w:noWrap/>
            <w:vAlign w:val="center"/>
          </w:tcPr>
          <w:p w14:paraId="048AE465">
            <w:pPr>
              <w:jc w:val="center"/>
              <w:rPr>
                <w:rFonts w:ascii="宋体" w:hAnsi="宋体" w:cs="宋体"/>
                <w:color w:val="auto"/>
                <w:sz w:val="22"/>
                <w:szCs w:val="22"/>
                <w:highlight w:val="none"/>
              </w:rPr>
            </w:pPr>
          </w:p>
        </w:tc>
        <w:tc>
          <w:tcPr>
            <w:tcW w:w="979" w:type="dxa"/>
            <w:tcBorders>
              <w:top w:val="single" w:color="auto" w:sz="6" w:space="0"/>
              <w:left w:val="single" w:color="auto" w:sz="6" w:space="0"/>
              <w:bottom w:val="single" w:color="auto" w:sz="6" w:space="0"/>
              <w:right w:val="single" w:color="auto" w:sz="6" w:space="0"/>
            </w:tcBorders>
            <w:noWrap/>
            <w:vAlign w:val="center"/>
          </w:tcPr>
          <w:p w14:paraId="6DC17BE1">
            <w:pPr>
              <w:jc w:val="center"/>
              <w:rPr>
                <w:rFonts w:ascii="宋体" w:hAnsi="宋体" w:cs="宋体"/>
                <w:color w:val="auto"/>
                <w:sz w:val="22"/>
                <w:szCs w:val="22"/>
                <w:highlight w:val="none"/>
              </w:rPr>
            </w:pPr>
          </w:p>
        </w:tc>
        <w:tc>
          <w:tcPr>
            <w:tcW w:w="867" w:type="dxa"/>
            <w:tcBorders>
              <w:top w:val="single" w:color="auto" w:sz="6" w:space="0"/>
              <w:left w:val="single" w:color="auto" w:sz="6" w:space="0"/>
              <w:bottom w:val="single" w:color="auto" w:sz="6" w:space="0"/>
              <w:right w:val="single" w:color="auto" w:sz="6" w:space="0"/>
            </w:tcBorders>
            <w:noWrap/>
            <w:vAlign w:val="center"/>
          </w:tcPr>
          <w:p w14:paraId="43A5BD37">
            <w:pPr>
              <w:jc w:val="center"/>
              <w:rPr>
                <w:rFonts w:ascii="宋体" w:hAnsi="宋体" w:cs="宋体"/>
                <w:color w:val="auto"/>
                <w:sz w:val="22"/>
                <w:szCs w:val="22"/>
                <w:highlight w:val="none"/>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0011AECB">
            <w:pPr>
              <w:jc w:val="center"/>
              <w:rPr>
                <w:rFonts w:ascii="宋体" w:hAnsi="宋体" w:cs="宋体"/>
                <w:color w:val="auto"/>
                <w:sz w:val="22"/>
                <w:szCs w:val="22"/>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1A342DED">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57BD10C8">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3320E0D4">
            <w:pPr>
              <w:jc w:val="center"/>
              <w:rPr>
                <w:rFonts w:ascii="宋体" w:hAnsi="宋体" w:cs="宋体"/>
                <w:color w:val="auto"/>
                <w:sz w:val="22"/>
                <w:szCs w:val="22"/>
                <w:highlight w:val="none"/>
              </w:rPr>
            </w:pPr>
          </w:p>
        </w:tc>
      </w:tr>
      <w:tr w14:paraId="3A96CBAC">
        <w:tblPrEx>
          <w:tblCellMar>
            <w:top w:w="0" w:type="dxa"/>
            <w:left w:w="108" w:type="dxa"/>
            <w:bottom w:w="0" w:type="dxa"/>
            <w:right w:w="108" w:type="dxa"/>
          </w:tblCellMar>
        </w:tblPrEx>
        <w:trPr>
          <w:trHeight w:val="798" w:hRule="atLeast"/>
          <w:jc w:val="center"/>
        </w:trPr>
        <w:tc>
          <w:tcPr>
            <w:tcW w:w="820" w:type="dxa"/>
            <w:tcBorders>
              <w:top w:val="single" w:color="auto" w:sz="6" w:space="0"/>
              <w:left w:val="single" w:color="auto" w:sz="6" w:space="0"/>
              <w:bottom w:val="single" w:color="auto" w:sz="6" w:space="0"/>
              <w:right w:val="single" w:color="auto" w:sz="6" w:space="0"/>
            </w:tcBorders>
            <w:noWrap/>
            <w:vAlign w:val="center"/>
          </w:tcPr>
          <w:p w14:paraId="17F4484B">
            <w:pPr>
              <w:jc w:val="center"/>
              <w:rPr>
                <w:rFonts w:ascii="宋体" w:hAnsi="宋体" w:cs="宋体"/>
                <w:color w:val="auto"/>
                <w:sz w:val="22"/>
                <w:szCs w:val="22"/>
                <w:highlight w:val="none"/>
              </w:rPr>
            </w:pPr>
          </w:p>
        </w:tc>
        <w:tc>
          <w:tcPr>
            <w:tcW w:w="1436" w:type="dxa"/>
            <w:tcBorders>
              <w:top w:val="single" w:color="auto" w:sz="6" w:space="0"/>
              <w:left w:val="single" w:color="auto" w:sz="6" w:space="0"/>
              <w:bottom w:val="single" w:color="auto" w:sz="6" w:space="0"/>
              <w:right w:val="single" w:color="auto" w:sz="6" w:space="0"/>
            </w:tcBorders>
            <w:noWrap/>
            <w:vAlign w:val="center"/>
          </w:tcPr>
          <w:p w14:paraId="745BEE5B">
            <w:pPr>
              <w:jc w:val="center"/>
              <w:rPr>
                <w:rFonts w:ascii="宋体" w:hAnsi="宋体" w:cs="宋体"/>
                <w:color w:val="auto"/>
                <w:sz w:val="22"/>
                <w:szCs w:val="22"/>
                <w:highlight w:val="none"/>
              </w:rPr>
            </w:pPr>
          </w:p>
        </w:tc>
        <w:tc>
          <w:tcPr>
            <w:tcW w:w="979" w:type="dxa"/>
            <w:tcBorders>
              <w:top w:val="single" w:color="auto" w:sz="6" w:space="0"/>
              <w:left w:val="single" w:color="auto" w:sz="6" w:space="0"/>
              <w:bottom w:val="single" w:color="auto" w:sz="6" w:space="0"/>
              <w:right w:val="single" w:color="auto" w:sz="6" w:space="0"/>
            </w:tcBorders>
            <w:noWrap/>
            <w:vAlign w:val="center"/>
          </w:tcPr>
          <w:p w14:paraId="49CF0134">
            <w:pPr>
              <w:jc w:val="center"/>
              <w:rPr>
                <w:rFonts w:ascii="宋体" w:hAnsi="宋体" w:cs="宋体"/>
                <w:color w:val="auto"/>
                <w:sz w:val="22"/>
                <w:szCs w:val="22"/>
                <w:highlight w:val="none"/>
              </w:rPr>
            </w:pPr>
          </w:p>
        </w:tc>
        <w:tc>
          <w:tcPr>
            <w:tcW w:w="867" w:type="dxa"/>
            <w:tcBorders>
              <w:top w:val="single" w:color="auto" w:sz="6" w:space="0"/>
              <w:left w:val="single" w:color="auto" w:sz="6" w:space="0"/>
              <w:bottom w:val="single" w:color="auto" w:sz="6" w:space="0"/>
              <w:right w:val="single" w:color="auto" w:sz="6" w:space="0"/>
            </w:tcBorders>
            <w:noWrap/>
            <w:vAlign w:val="center"/>
          </w:tcPr>
          <w:p w14:paraId="10113337">
            <w:pPr>
              <w:jc w:val="center"/>
              <w:rPr>
                <w:rFonts w:ascii="宋体" w:hAnsi="宋体" w:cs="宋体"/>
                <w:color w:val="auto"/>
                <w:sz w:val="22"/>
                <w:szCs w:val="22"/>
                <w:highlight w:val="none"/>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168EE404">
            <w:pPr>
              <w:jc w:val="center"/>
              <w:rPr>
                <w:rFonts w:ascii="宋体" w:hAnsi="宋体" w:cs="宋体"/>
                <w:color w:val="auto"/>
                <w:sz w:val="22"/>
                <w:szCs w:val="22"/>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26EC6572">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4D67258D">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35D2329D">
            <w:pPr>
              <w:jc w:val="center"/>
              <w:rPr>
                <w:rFonts w:ascii="宋体" w:hAnsi="宋体" w:cs="宋体"/>
                <w:color w:val="auto"/>
                <w:sz w:val="22"/>
                <w:szCs w:val="22"/>
                <w:highlight w:val="none"/>
              </w:rPr>
            </w:pPr>
          </w:p>
        </w:tc>
      </w:tr>
      <w:tr w14:paraId="232A7BBC">
        <w:tblPrEx>
          <w:tblCellMar>
            <w:top w:w="0" w:type="dxa"/>
            <w:left w:w="108" w:type="dxa"/>
            <w:bottom w:w="0" w:type="dxa"/>
            <w:right w:w="108" w:type="dxa"/>
          </w:tblCellMar>
        </w:tblPrEx>
        <w:trPr>
          <w:trHeight w:val="836" w:hRule="atLeast"/>
          <w:jc w:val="center"/>
        </w:trPr>
        <w:tc>
          <w:tcPr>
            <w:tcW w:w="820" w:type="dxa"/>
            <w:tcBorders>
              <w:top w:val="single" w:color="auto" w:sz="6" w:space="0"/>
              <w:left w:val="single" w:color="auto" w:sz="6" w:space="0"/>
              <w:bottom w:val="single" w:color="auto" w:sz="6" w:space="0"/>
              <w:right w:val="single" w:color="auto" w:sz="6" w:space="0"/>
            </w:tcBorders>
            <w:noWrap/>
            <w:vAlign w:val="center"/>
          </w:tcPr>
          <w:p w14:paraId="640013C4">
            <w:pPr>
              <w:jc w:val="center"/>
              <w:rPr>
                <w:rFonts w:ascii="宋体" w:hAnsi="宋体" w:cs="宋体"/>
                <w:color w:val="auto"/>
                <w:sz w:val="22"/>
                <w:szCs w:val="22"/>
                <w:highlight w:val="none"/>
              </w:rPr>
            </w:pPr>
          </w:p>
        </w:tc>
        <w:tc>
          <w:tcPr>
            <w:tcW w:w="1436" w:type="dxa"/>
            <w:tcBorders>
              <w:top w:val="single" w:color="auto" w:sz="6" w:space="0"/>
              <w:left w:val="single" w:color="auto" w:sz="6" w:space="0"/>
              <w:bottom w:val="single" w:color="auto" w:sz="6" w:space="0"/>
              <w:right w:val="single" w:color="auto" w:sz="6" w:space="0"/>
            </w:tcBorders>
            <w:noWrap/>
            <w:vAlign w:val="center"/>
          </w:tcPr>
          <w:p w14:paraId="0CE93AE2">
            <w:pPr>
              <w:jc w:val="center"/>
              <w:rPr>
                <w:rFonts w:ascii="宋体" w:hAnsi="宋体" w:cs="宋体"/>
                <w:color w:val="auto"/>
                <w:sz w:val="22"/>
                <w:szCs w:val="22"/>
                <w:highlight w:val="none"/>
              </w:rPr>
            </w:pPr>
          </w:p>
        </w:tc>
        <w:tc>
          <w:tcPr>
            <w:tcW w:w="979" w:type="dxa"/>
            <w:tcBorders>
              <w:top w:val="single" w:color="auto" w:sz="6" w:space="0"/>
              <w:left w:val="single" w:color="auto" w:sz="6" w:space="0"/>
              <w:bottom w:val="single" w:color="auto" w:sz="6" w:space="0"/>
              <w:right w:val="single" w:color="auto" w:sz="6" w:space="0"/>
            </w:tcBorders>
            <w:noWrap/>
            <w:vAlign w:val="center"/>
          </w:tcPr>
          <w:p w14:paraId="7C2EDAF1">
            <w:pPr>
              <w:jc w:val="center"/>
              <w:rPr>
                <w:rFonts w:ascii="宋体" w:hAnsi="宋体" w:cs="宋体"/>
                <w:color w:val="auto"/>
                <w:sz w:val="22"/>
                <w:szCs w:val="22"/>
                <w:highlight w:val="none"/>
              </w:rPr>
            </w:pPr>
          </w:p>
        </w:tc>
        <w:tc>
          <w:tcPr>
            <w:tcW w:w="867" w:type="dxa"/>
            <w:tcBorders>
              <w:top w:val="single" w:color="auto" w:sz="6" w:space="0"/>
              <w:left w:val="single" w:color="auto" w:sz="6" w:space="0"/>
              <w:bottom w:val="single" w:color="auto" w:sz="6" w:space="0"/>
              <w:right w:val="single" w:color="auto" w:sz="6" w:space="0"/>
            </w:tcBorders>
            <w:noWrap/>
            <w:vAlign w:val="center"/>
          </w:tcPr>
          <w:p w14:paraId="60611C89">
            <w:pPr>
              <w:jc w:val="center"/>
              <w:rPr>
                <w:rFonts w:ascii="宋体" w:hAnsi="宋体" w:cs="宋体"/>
                <w:color w:val="auto"/>
                <w:sz w:val="22"/>
                <w:szCs w:val="22"/>
                <w:highlight w:val="none"/>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07F5131C">
            <w:pPr>
              <w:jc w:val="center"/>
              <w:rPr>
                <w:rFonts w:ascii="宋体" w:hAnsi="宋体" w:cs="宋体"/>
                <w:color w:val="auto"/>
                <w:sz w:val="22"/>
                <w:szCs w:val="22"/>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499794CC">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7C9022DC">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10012535">
            <w:pPr>
              <w:jc w:val="center"/>
              <w:rPr>
                <w:rFonts w:ascii="宋体" w:hAnsi="宋体" w:cs="宋体"/>
                <w:color w:val="auto"/>
                <w:sz w:val="22"/>
                <w:szCs w:val="22"/>
                <w:highlight w:val="none"/>
              </w:rPr>
            </w:pPr>
          </w:p>
        </w:tc>
      </w:tr>
      <w:tr w14:paraId="0964E106">
        <w:tblPrEx>
          <w:tblCellMar>
            <w:top w:w="0" w:type="dxa"/>
            <w:left w:w="108" w:type="dxa"/>
            <w:bottom w:w="0" w:type="dxa"/>
            <w:right w:w="108" w:type="dxa"/>
          </w:tblCellMar>
        </w:tblPrEx>
        <w:trPr>
          <w:trHeight w:val="980" w:hRule="atLeast"/>
          <w:jc w:val="center"/>
        </w:trPr>
        <w:tc>
          <w:tcPr>
            <w:tcW w:w="820" w:type="dxa"/>
            <w:tcBorders>
              <w:top w:val="single" w:color="auto" w:sz="6" w:space="0"/>
              <w:left w:val="single" w:color="auto" w:sz="6" w:space="0"/>
              <w:bottom w:val="single" w:color="auto" w:sz="6" w:space="0"/>
              <w:right w:val="single" w:color="auto" w:sz="6" w:space="0"/>
            </w:tcBorders>
            <w:noWrap/>
            <w:vAlign w:val="center"/>
          </w:tcPr>
          <w:p w14:paraId="35D49DB1">
            <w:pPr>
              <w:jc w:val="center"/>
              <w:rPr>
                <w:rFonts w:ascii="宋体" w:hAnsi="宋体" w:cs="宋体"/>
                <w:color w:val="auto"/>
                <w:sz w:val="22"/>
                <w:szCs w:val="22"/>
                <w:highlight w:val="none"/>
              </w:rPr>
            </w:pPr>
          </w:p>
        </w:tc>
        <w:tc>
          <w:tcPr>
            <w:tcW w:w="1436" w:type="dxa"/>
            <w:tcBorders>
              <w:top w:val="single" w:color="auto" w:sz="6" w:space="0"/>
              <w:left w:val="single" w:color="auto" w:sz="6" w:space="0"/>
              <w:bottom w:val="single" w:color="auto" w:sz="6" w:space="0"/>
              <w:right w:val="single" w:color="auto" w:sz="6" w:space="0"/>
            </w:tcBorders>
            <w:noWrap/>
            <w:vAlign w:val="center"/>
          </w:tcPr>
          <w:p w14:paraId="335B2E20">
            <w:pPr>
              <w:jc w:val="center"/>
              <w:rPr>
                <w:rFonts w:ascii="宋体" w:hAnsi="宋体" w:cs="宋体"/>
                <w:color w:val="auto"/>
                <w:sz w:val="22"/>
                <w:szCs w:val="22"/>
                <w:highlight w:val="none"/>
              </w:rPr>
            </w:pPr>
          </w:p>
        </w:tc>
        <w:tc>
          <w:tcPr>
            <w:tcW w:w="979" w:type="dxa"/>
            <w:tcBorders>
              <w:top w:val="single" w:color="auto" w:sz="6" w:space="0"/>
              <w:left w:val="single" w:color="auto" w:sz="6" w:space="0"/>
              <w:bottom w:val="single" w:color="auto" w:sz="6" w:space="0"/>
              <w:right w:val="single" w:color="auto" w:sz="6" w:space="0"/>
            </w:tcBorders>
            <w:noWrap/>
            <w:vAlign w:val="center"/>
          </w:tcPr>
          <w:p w14:paraId="41DB4F75">
            <w:pPr>
              <w:jc w:val="center"/>
              <w:rPr>
                <w:rFonts w:ascii="宋体" w:hAnsi="宋体" w:cs="宋体"/>
                <w:color w:val="auto"/>
                <w:sz w:val="22"/>
                <w:szCs w:val="22"/>
                <w:highlight w:val="none"/>
              </w:rPr>
            </w:pPr>
          </w:p>
        </w:tc>
        <w:tc>
          <w:tcPr>
            <w:tcW w:w="867" w:type="dxa"/>
            <w:tcBorders>
              <w:top w:val="single" w:color="auto" w:sz="6" w:space="0"/>
              <w:left w:val="single" w:color="auto" w:sz="6" w:space="0"/>
              <w:bottom w:val="single" w:color="auto" w:sz="6" w:space="0"/>
              <w:right w:val="single" w:color="auto" w:sz="6" w:space="0"/>
            </w:tcBorders>
            <w:noWrap/>
            <w:vAlign w:val="center"/>
          </w:tcPr>
          <w:p w14:paraId="59B03B59">
            <w:pPr>
              <w:jc w:val="center"/>
              <w:rPr>
                <w:rFonts w:ascii="宋体" w:hAnsi="宋体" w:cs="宋体"/>
                <w:color w:val="auto"/>
                <w:sz w:val="22"/>
                <w:szCs w:val="22"/>
                <w:highlight w:val="none"/>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69CE7814">
            <w:pPr>
              <w:jc w:val="center"/>
              <w:rPr>
                <w:rFonts w:ascii="宋体" w:hAnsi="宋体" w:cs="宋体"/>
                <w:color w:val="auto"/>
                <w:sz w:val="22"/>
                <w:szCs w:val="22"/>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54A81C9F">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11F3CA48">
            <w:pPr>
              <w:jc w:val="center"/>
              <w:rPr>
                <w:rFonts w:ascii="宋体" w:hAnsi="宋体" w:cs="宋体"/>
                <w:color w:val="auto"/>
                <w:sz w:val="22"/>
                <w:szCs w:val="22"/>
                <w:highlight w:val="none"/>
              </w:rPr>
            </w:pPr>
          </w:p>
        </w:tc>
        <w:tc>
          <w:tcPr>
            <w:tcW w:w="1473" w:type="dxa"/>
            <w:tcBorders>
              <w:top w:val="single" w:color="auto" w:sz="6" w:space="0"/>
              <w:left w:val="single" w:color="auto" w:sz="6" w:space="0"/>
              <w:bottom w:val="single" w:color="auto" w:sz="6" w:space="0"/>
              <w:right w:val="single" w:color="auto" w:sz="6" w:space="0"/>
            </w:tcBorders>
            <w:noWrap/>
            <w:vAlign w:val="center"/>
          </w:tcPr>
          <w:p w14:paraId="04ECF4F3">
            <w:pPr>
              <w:jc w:val="center"/>
              <w:rPr>
                <w:rFonts w:ascii="宋体" w:hAnsi="宋体" w:cs="宋体"/>
                <w:color w:val="auto"/>
                <w:sz w:val="22"/>
                <w:szCs w:val="22"/>
                <w:highlight w:val="none"/>
              </w:rPr>
            </w:pPr>
          </w:p>
        </w:tc>
      </w:tr>
    </w:tbl>
    <w:p w14:paraId="2A791436">
      <w:pPr>
        <w:numPr>
          <w:ilvl w:val="255"/>
          <w:numId w:val="0"/>
        </w:numPr>
        <w:tabs>
          <w:tab w:val="left" w:pos="420"/>
          <w:tab w:val="left" w:pos="1260"/>
          <w:tab w:val="left" w:pos="5355"/>
        </w:tabs>
        <w:autoSpaceDE w:val="0"/>
        <w:autoSpaceDN w:val="0"/>
        <w:adjustRightInd w:val="0"/>
        <w:spacing w:line="430" w:lineRule="atLeast"/>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备注：提供以上人员注册资格证书、职称证书、社保证明材料（须提供投标前近3个月的社保，扫描件或复印件作为证明材料）。</w:t>
      </w:r>
    </w:p>
    <w:p w14:paraId="6E3A0085">
      <w:pPr>
        <w:rPr>
          <w:rFonts w:ascii="宋体" w:hAnsi="宋体"/>
          <w:b/>
          <w:bCs/>
          <w:color w:val="auto"/>
          <w:sz w:val="24"/>
          <w:szCs w:val="28"/>
          <w:highlight w:val="none"/>
        </w:rPr>
      </w:pPr>
    </w:p>
    <w:p w14:paraId="5B1B05AC">
      <w:pPr>
        <w:rPr>
          <w:rFonts w:ascii="宋体" w:hAnsi="宋体"/>
          <w:color w:val="auto"/>
          <w:sz w:val="24"/>
          <w:szCs w:val="28"/>
          <w:highlight w:val="none"/>
        </w:rPr>
      </w:pPr>
    </w:p>
    <w:p w14:paraId="3388F454">
      <w:pPr>
        <w:rPr>
          <w:rFonts w:ascii="宋体" w:hAnsi="宋体"/>
          <w:b/>
          <w:bCs/>
          <w:color w:val="auto"/>
          <w:sz w:val="24"/>
          <w:szCs w:val="28"/>
          <w:highlight w:val="none"/>
        </w:rPr>
      </w:pPr>
    </w:p>
    <w:p w14:paraId="2EC2BE4D">
      <w:pPr>
        <w:rPr>
          <w:rFonts w:ascii="宋体" w:hAnsi="宋体"/>
          <w:color w:val="auto"/>
          <w:sz w:val="24"/>
          <w:szCs w:val="28"/>
          <w:highlight w:val="none"/>
        </w:rPr>
      </w:pPr>
    </w:p>
    <w:p w14:paraId="3E51CBC9">
      <w:pPr>
        <w:rPr>
          <w:rFonts w:ascii="宋体" w:hAnsi="宋体"/>
          <w:b/>
          <w:bCs/>
          <w:color w:val="auto"/>
          <w:sz w:val="24"/>
          <w:szCs w:val="28"/>
          <w:highlight w:val="none"/>
        </w:rPr>
      </w:pPr>
    </w:p>
    <w:p w14:paraId="4EC19C59">
      <w:pPr>
        <w:jc w:val="left"/>
        <w:outlineLvl w:val="3"/>
        <w:rPr>
          <w:rFonts w:hint="eastAsia" w:ascii="宋体" w:hAnsi="宋体" w:eastAsia="宋体"/>
          <w:b/>
          <w:bCs/>
          <w:color w:val="auto"/>
          <w:sz w:val="28"/>
          <w:szCs w:val="32"/>
          <w:highlight w:val="none"/>
          <w:lang w:eastAsia="zh-CN"/>
        </w:rPr>
      </w:pPr>
      <w:r>
        <w:rPr>
          <w:rFonts w:hint="eastAsia" w:ascii="宋体" w:hAnsi="宋体"/>
          <w:color w:val="auto"/>
          <w:sz w:val="28"/>
          <w:szCs w:val="32"/>
          <w:highlight w:val="none"/>
        </w:rPr>
        <w:t>附件十三-</w:t>
      </w:r>
      <w:r>
        <w:rPr>
          <w:rFonts w:hint="eastAsia" w:ascii="宋体" w:hAnsi="宋体"/>
          <w:color w:val="auto"/>
          <w:sz w:val="28"/>
          <w:szCs w:val="32"/>
          <w:highlight w:val="none"/>
          <w:lang w:val="en-US" w:eastAsia="zh-CN"/>
        </w:rPr>
        <w:t>2</w:t>
      </w:r>
    </w:p>
    <w:p w14:paraId="32D30C25">
      <w:pPr>
        <w:jc w:val="center"/>
        <w:outlineLvl w:val="3"/>
        <w:rPr>
          <w:rFonts w:ascii="宋体" w:hAnsi="宋体"/>
          <w:b/>
          <w:bCs/>
          <w:color w:val="auto"/>
          <w:sz w:val="28"/>
          <w:szCs w:val="32"/>
          <w:highlight w:val="none"/>
        </w:rPr>
      </w:pPr>
      <w:r>
        <w:rPr>
          <w:rFonts w:hint="eastAsia" w:ascii="宋体" w:hAnsi="宋体"/>
          <w:b/>
          <w:bCs/>
          <w:color w:val="auto"/>
          <w:sz w:val="28"/>
          <w:szCs w:val="32"/>
          <w:highlight w:val="none"/>
        </w:rPr>
        <w:t>编制工作技术路线和方法（格式自拟）</w:t>
      </w:r>
    </w:p>
    <w:p w14:paraId="10DF7A0F">
      <w:pPr>
        <w:jc w:val="left"/>
        <w:rPr>
          <w:rFonts w:ascii="宋体" w:hAnsi="宋体"/>
          <w:b/>
          <w:bCs/>
          <w:color w:val="auto"/>
          <w:sz w:val="28"/>
          <w:szCs w:val="32"/>
          <w:highlight w:val="none"/>
        </w:rPr>
      </w:pPr>
      <w:r>
        <w:rPr>
          <w:rFonts w:hint="eastAsia" w:ascii="宋体" w:hAnsi="宋体"/>
          <w:b/>
          <w:bCs/>
          <w:color w:val="auto"/>
          <w:sz w:val="28"/>
          <w:szCs w:val="32"/>
          <w:highlight w:val="none"/>
        </w:rPr>
        <w:br w:type="page"/>
      </w:r>
    </w:p>
    <w:p w14:paraId="0A03BEFF">
      <w:pPr>
        <w:jc w:val="left"/>
        <w:outlineLvl w:val="3"/>
        <w:rPr>
          <w:rFonts w:hint="eastAsia" w:ascii="宋体" w:hAnsi="宋体" w:eastAsia="宋体"/>
          <w:b/>
          <w:bCs/>
          <w:color w:val="auto"/>
          <w:sz w:val="28"/>
          <w:szCs w:val="32"/>
          <w:highlight w:val="none"/>
          <w:lang w:eastAsia="zh-CN"/>
        </w:rPr>
      </w:pPr>
      <w:r>
        <w:rPr>
          <w:rFonts w:hint="eastAsia" w:ascii="宋体" w:hAnsi="宋体"/>
          <w:color w:val="auto"/>
          <w:sz w:val="28"/>
          <w:szCs w:val="32"/>
          <w:highlight w:val="none"/>
        </w:rPr>
        <w:t>附件十三-</w:t>
      </w:r>
      <w:r>
        <w:rPr>
          <w:rFonts w:hint="eastAsia" w:ascii="宋体" w:hAnsi="宋体"/>
          <w:color w:val="auto"/>
          <w:sz w:val="28"/>
          <w:szCs w:val="32"/>
          <w:highlight w:val="none"/>
          <w:lang w:val="en-US" w:eastAsia="zh-CN"/>
        </w:rPr>
        <w:t>3</w:t>
      </w:r>
    </w:p>
    <w:p w14:paraId="27DB365E">
      <w:pPr>
        <w:jc w:val="center"/>
        <w:outlineLvl w:val="3"/>
        <w:rPr>
          <w:rFonts w:ascii="宋体" w:hAnsi="宋体"/>
          <w:b/>
          <w:bCs/>
          <w:color w:val="auto"/>
          <w:sz w:val="28"/>
          <w:szCs w:val="32"/>
          <w:highlight w:val="none"/>
        </w:rPr>
      </w:pPr>
      <w:r>
        <w:rPr>
          <w:rFonts w:hint="eastAsia" w:ascii="宋体" w:hAnsi="宋体"/>
          <w:b/>
          <w:bCs/>
          <w:color w:val="auto"/>
          <w:sz w:val="28"/>
          <w:szCs w:val="32"/>
          <w:highlight w:val="none"/>
        </w:rPr>
        <w:t>对本项目实施过程中重难点分析及应对措施（格式自拟）</w:t>
      </w:r>
    </w:p>
    <w:p w14:paraId="064EE81E">
      <w:pPr>
        <w:jc w:val="left"/>
        <w:rPr>
          <w:rFonts w:ascii="宋体" w:hAnsi="宋体"/>
          <w:b/>
          <w:bCs/>
          <w:color w:val="auto"/>
          <w:sz w:val="28"/>
          <w:szCs w:val="32"/>
          <w:highlight w:val="none"/>
        </w:rPr>
      </w:pPr>
      <w:r>
        <w:rPr>
          <w:rFonts w:hint="eastAsia" w:ascii="宋体" w:hAnsi="宋体"/>
          <w:b/>
          <w:bCs/>
          <w:color w:val="auto"/>
          <w:sz w:val="28"/>
          <w:szCs w:val="32"/>
          <w:highlight w:val="none"/>
        </w:rPr>
        <w:br w:type="page"/>
      </w:r>
    </w:p>
    <w:p w14:paraId="4F9DCA82">
      <w:pPr>
        <w:jc w:val="left"/>
        <w:outlineLvl w:val="3"/>
        <w:rPr>
          <w:rFonts w:hint="eastAsia" w:ascii="宋体" w:hAnsi="宋体" w:eastAsia="宋体"/>
          <w:b/>
          <w:bCs/>
          <w:color w:val="auto"/>
          <w:sz w:val="28"/>
          <w:szCs w:val="32"/>
          <w:highlight w:val="none"/>
          <w:lang w:eastAsia="zh-CN"/>
        </w:rPr>
      </w:pPr>
      <w:r>
        <w:rPr>
          <w:rFonts w:hint="eastAsia" w:ascii="宋体" w:hAnsi="宋体"/>
          <w:color w:val="auto"/>
          <w:sz w:val="28"/>
          <w:szCs w:val="32"/>
          <w:highlight w:val="none"/>
        </w:rPr>
        <w:t>附件十三-</w:t>
      </w:r>
      <w:r>
        <w:rPr>
          <w:rFonts w:hint="eastAsia" w:ascii="宋体" w:hAnsi="宋体"/>
          <w:color w:val="auto"/>
          <w:sz w:val="28"/>
          <w:szCs w:val="32"/>
          <w:highlight w:val="none"/>
          <w:lang w:val="en-US" w:eastAsia="zh-CN"/>
        </w:rPr>
        <w:t>4</w:t>
      </w:r>
    </w:p>
    <w:p w14:paraId="07CDC80D">
      <w:pPr>
        <w:jc w:val="center"/>
        <w:outlineLvl w:val="3"/>
        <w:rPr>
          <w:rFonts w:ascii="宋体" w:hAnsi="宋体"/>
          <w:b/>
          <w:bCs/>
          <w:color w:val="auto"/>
          <w:sz w:val="28"/>
          <w:szCs w:val="32"/>
          <w:highlight w:val="none"/>
        </w:rPr>
      </w:pPr>
      <w:r>
        <w:rPr>
          <w:rFonts w:hint="eastAsia" w:ascii="宋体" w:hAnsi="宋体"/>
          <w:b/>
          <w:bCs/>
          <w:color w:val="auto"/>
          <w:sz w:val="28"/>
          <w:szCs w:val="32"/>
          <w:highlight w:val="none"/>
        </w:rPr>
        <w:t>质量保证措施（格式自拟）</w:t>
      </w:r>
    </w:p>
    <w:p w14:paraId="036EDEC4">
      <w:pPr>
        <w:jc w:val="left"/>
        <w:rPr>
          <w:rFonts w:ascii="宋体" w:hAnsi="宋体"/>
          <w:b/>
          <w:bCs/>
          <w:color w:val="auto"/>
          <w:sz w:val="28"/>
          <w:szCs w:val="32"/>
          <w:highlight w:val="none"/>
        </w:rPr>
      </w:pPr>
      <w:r>
        <w:rPr>
          <w:rFonts w:hint="eastAsia" w:ascii="宋体" w:hAnsi="宋体"/>
          <w:b/>
          <w:bCs/>
          <w:color w:val="auto"/>
          <w:sz w:val="28"/>
          <w:szCs w:val="32"/>
          <w:highlight w:val="none"/>
        </w:rPr>
        <w:br w:type="page"/>
      </w:r>
    </w:p>
    <w:p w14:paraId="771CEF3F">
      <w:pPr>
        <w:jc w:val="left"/>
        <w:outlineLvl w:val="3"/>
        <w:rPr>
          <w:rFonts w:hint="eastAsia" w:ascii="宋体" w:hAnsi="宋体" w:eastAsia="宋体"/>
          <w:b/>
          <w:bCs/>
          <w:color w:val="auto"/>
          <w:sz w:val="28"/>
          <w:szCs w:val="32"/>
          <w:highlight w:val="none"/>
          <w:lang w:eastAsia="zh-CN"/>
        </w:rPr>
      </w:pPr>
      <w:r>
        <w:rPr>
          <w:rFonts w:hint="eastAsia" w:ascii="宋体" w:hAnsi="宋体"/>
          <w:color w:val="auto"/>
          <w:sz w:val="28"/>
          <w:szCs w:val="32"/>
          <w:highlight w:val="none"/>
        </w:rPr>
        <w:t>附件十三-</w:t>
      </w:r>
      <w:r>
        <w:rPr>
          <w:rFonts w:hint="eastAsia" w:ascii="宋体" w:hAnsi="宋体"/>
          <w:color w:val="auto"/>
          <w:sz w:val="28"/>
          <w:szCs w:val="32"/>
          <w:highlight w:val="none"/>
          <w:lang w:val="en-US" w:eastAsia="zh-CN"/>
        </w:rPr>
        <w:t>5</w:t>
      </w:r>
    </w:p>
    <w:p w14:paraId="34A6C5FA">
      <w:pPr>
        <w:jc w:val="center"/>
        <w:outlineLvl w:val="3"/>
        <w:rPr>
          <w:rFonts w:ascii="宋体" w:hAnsi="宋体"/>
          <w:b/>
          <w:bCs/>
          <w:color w:val="auto"/>
          <w:sz w:val="28"/>
          <w:szCs w:val="32"/>
          <w:highlight w:val="none"/>
        </w:rPr>
      </w:pPr>
      <w:r>
        <w:rPr>
          <w:rFonts w:hint="eastAsia" w:ascii="宋体" w:hAnsi="宋体"/>
          <w:b/>
          <w:bCs/>
          <w:color w:val="auto"/>
          <w:sz w:val="28"/>
          <w:szCs w:val="32"/>
          <w:highlight w:val="none"/>
        </w:rPr>
        <w:t>进度保证措施（格式自拟）</w:t>
      </w:r>
    </w:p>
    <w:p w14:paraId="3819931E">
      <w:pPr>
        <w:jc w:val="left"/>
        <w:rPr>
          <w:rFonts w:ascii="宋体" w:hAnsi="宋体"/>
          <w:b/>
          <w:bCs/>
          <w:color w:val="auto"/>
          <w:sz w:val="28"/>
          <w:szCs w:val="32"/>
          <w:highlight w:val="none"/>
        </w:rPr>
      </w:pPr>
      <w:r>
        <w:rPr>
          <w:rFonts w:hint="eastAsia" w:ascii="宋体" w:hAnsi="宋体"/>
          <w:b/>
          <w:bCs/>
          <w:color w:val="auto"/>
          <w:sz w:val="28"/>
          <w:szCs w:val="32"/>
          <w:highlight w:val="none"/>
        </w:rPr>
        <w:br w:type="page"/>
      </w:r>
    </w:p>
    <w:p w14:paraId="0074BF93">
      <w:pPr>
        <w:jc w:val="left"/>
        <w:outlineLvl w:val="3"/>
        <w:rPr>
          <w:rFonts w:ascii="宋体" w:hAnsi="宋体"/>
          <w:b/>
          <w:bCs/>
          <w:color w:val="auto"/>
          <w:sz w:val="28"/>
          <w:szCs w:val="32"/>
          <w:highlight w:val="none"/>
        </w:rPr>
      </w:pPr>
      <w:r>
        <w:rPr>
          <w:rFonts w:hint="eastAsia" w:ascii="宋体" w:hAnsi="宋体"/>
          <w:color w:val="auto"/>
          <w:sz w:val="28"/>
          <w:szCs w:val="32"/>
          <w:highlight w:val="none"/>
        </w:rPr>
        <w:t>附件十四</w:t>
      </w:r>
    </w:p>
    <w:p w14:paraId="6BC1E19D">
      <w:pPr>
        <w:jc w:val="center"/>
        <w:outlineLvl w:val="3"/>
        <w:rPr>
          <w:color w:val="auto"/>
          <w:highlight w:val="none"/>
        </w:rPr>
      </w:pPr>
      <w:r>
        <w:rPr>
          <w:rFonts w:hint="eastAsia" w:ascii="宋体" w:hAnsi="宋体"/>
          <w:b/>
          <w:bCs/>
          <w:color w:val="auto"/>
          <w:sz w:val="28"/>
          <w:szCs w:val="32"/>
          <w:highlight w:val="none"/>
        </w:rPr>
        <w:t>其他投标人认为需要提供的资信证明材料及内容（格式自拟）</w:t>
      </w:r>
      <w:r>
        <w:rPr>
          <w:rFonts w:ascii="宋体" w:hAnsi="宋体"/>
          <w:b/>
          <w:color w:val="auto"/>
          <w:sz w:val="28"/>
          <w:szCs w:val="28"/>
          <w:highlight w:val="none"/>
        </w:rPr>
        <w:br w:type="page"/>
      </w:r>
    </w:p>
    <w:p w14:paraId="5CEEB288">
      <w:pPr>
        <w:rPr>
          <w:rFonts w:ascii="宋体" w:hAnsi="宋体" w:cs="新宋体"/>
          <w:color w:val="auto"/>
          <w:sz w:val="22"/>
          <w:szCs w:val="22"/>
          <w:highlight w:val="none"/>
        </w:rPr>
      </w:pPr>
      <w:r>
        <w:rPr>
          <w:rFonts w:hint="eastAsia" w:ascii="宋体" w:hAnsi="宋体" w:cs="新宋体"/>
          <w:color w:val="auto"/>
          <w:sz w:val="22"/>
          <w:szCs w:val="22"/>
          <w:highlight w:val="none"/>
        </w:rPr>
        <w:t>（价格标文件封面，供参考）</w:t>
      </w:r>
    </w:p>
    <w:p w14:paraId="326FEA21">
      <w:pPr>
        <w:rPr>
          <w:rFonts w:ascii="宋体" w:hAnsi="宋体" w:cs="新宋体"/>
          <w:color w:val="auto"/>
          <w:highlight w:val="none"/>
        </w:rPr>
      </w:pPr>
    </w:p>
    <w:p w14:paraId="3D406475">
      <w:pPr>
        <w:rPr>
          <w:rFonts w:ascii="宋体" w:hAnsi="宋体" w:cs="新宋体"/>
          <w:color w:val="auto"/>
          <w:highlight w:val="none"/>
        </w:rPr>
      </w:pPr>
    </w:p>
    <w:p w14:paraId="335398D6">
      <w:pPr>
        <w:rPr>
          <w:rFonts w:ascii="宋体" w:hAnsi="宋体" w:cs="新宋体"/>
          <w:color w:val="auto"/>
          <w:highlight w:val="none"/>
        </w:rPr>
      </w:pPr>
    </w:p>
    <w:p w14:paraId="4CF8C4C4">
      <w:pPr>
        <w:jc w:val="center"/>
        <w:rPr>
          <w:rFonts w:ascii="宋体" w:hAnsi="宋体" w:cs="新宋体"/>
          <w:color w:val="auto"/>
          <w:sz w:val="28"/>
          <w:szCs w:val="28"/>
          <w:highlight w:val="none"/>
        </w:rPr>
      </w:pP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（项目名称）投标文件</w:t>
      </w:r>
    </w:p>
    <w:p w14:paraId="27FFD523">
      <w:pPr>
        <w:rPr>
          <w:rFonts w:ascii="宋体" w:hAnsi="宋体" w:cs="新宋体"/>
          <w:color w:val="auto"/>
          <w:sz w:val="28"/>
          <w:szCs w:val="28"/>
          <w:highlight w:val="none"/>
        </w:rPr>
      </w:pPr>
    </w:p>
    <w:p w14:paraId="133D2F21">
      <w:pPr>
        <w:rPr>
          <w:rFonts w:ascii="宋体" w:hAnsi="宋体" w:cs="新宋体"/>
          <w:color w:val="auto"/>
          <w:sz w:val="28"/>
          <w:szCs w:val="28"/>
          <w:highlight w:val="none"/>
        </w:rPr>
      </w:pPr>
    </w:p>
    <w:p w14:paraId="18B6FAEA">
      <w:pPr>
        <w:pStyle w:val="2"/>
        <w:ind w:firstLine="280"/>
        <w:rPr>
          <w:rFonts w:ascii="宋体" w:hAnsi="宋体" w:cs="新宋体"/>
          <w:color w:val="auto"/>
          <w:sz w:val="28"/>
          <w:szCs w:val="28"/>
          <w:highlight w:val="none"/>
        </w:rPr>
      </w:pPr>
    </w:p>
    <w:p w14:paraId="6BE571B7">
      <w:pPr>
        <w:pStyle w:val="2"/>
        <w:ind w:firstLine="280"/>
        <w:rPr>
          <w:rFonts w:ascii="宋体" w:hAnsi="宋体" w:cs="新宋体"/>
          <w:color w:val="auto"/>
          <w:sz w:val="28"/>
          <w:szCs w:val="28"/>
          <w:highlight w:val="none"/>
        </w:rPr>
      </w:pPr>
    </w:p>
    <w:p w14:paraId="3A1FB178">
      <w:pPr>
        <w:jc w:val="center"/>
        <w:rPr>
          <w:rFonts w:ascii="宋体" w:hAnsi="宋体" w:cs="新宋体"/>
          <w:color w:val="auto"/>
          <w:sz w:val="52"/>
          <w:szCs w:val="52"/>
          <w:highlight w:val="none"/>
        </w:rPr>
      </w:pPr>
    </w:p>
    <w:p w14:paraId="180870B1">
      <w:pPr>
        <w:spacing w:line="360" w:lineRule="auto"/>
        <w:jc w:val="center"/>
        <w:outlineLvl w:val="2"/>
        <w:rPr>
          <w:rFonts w:ascii="宋体" w:hAnsi="宋体" w:cs="新宋体"/>
          <w:color w:val="auto"/>
          <w:szCs w:val="21"/>
          <w:highlight w:val="none"/>
        </w:rPr>
      </w:pPr>
      <w:bookmarkStart w:id="105" w:name="_Toc24158"/>
      <w:r>
        <w:rPr>
          <w:rFonts w:hint="eastAsia" w:ascii="宋体" w:hAnsi="宋体" w:cs="新宋体"/>
          <w:color w:val="auto"/>
          <w:sz w:val="52"/>
          <w:szCs w:val="52"/>
          <w:highlight w:val="none"/>
        </w:rPr>
        <w:t>价 格 标</w:t>
      </w:r>
      <w:bookmarkEnd w:id="105"/>
    </w:p>
    <w:p w14:paraId="7BB69DA4">
      <w:pPr>
        <w:spacing w:line="360" w:lineRule="auto"/>
        <w:rPr>
          <w:rFonts w:ascii="宋体" w:hAnsi="宋体" w:cs="新宋体"/>
          <w:color w:val="auto"/>
          <w:szCs w:val="21"/>
          <w:highlight w:val="none"/>
        </w:rPr>
      </w:pPr>
    </w:p>
    <w:p w14:paraId="0BAE1722">
      <w:pPr>
        <w:spacing w:line="360" w:lineRule="auto"/>
        <w:rPr>
          <w:rFonts w:ascii="宋体" w:hAnsi="宋体" w:cs="新宋体"/>
          <w:color w:val="auto"/>
          <w:szCs w:val="21"/>
          <w:highlight w:val="none"/>
        </w:rPr>
      </w:pPr>
    </w:p>
    <w:p w14:paraId="3A111E73">
      <w:pPr>
        <w:spacing w:line="360" w:lineRule="auto"/>
        <w:rPr>
          <w:rFonts w:ascii="宋体" w:hAnsi="宋体" w:cs="新宋体"/>
          <w:color w:val="auto"/>
          <w:szCs w:val="21"/>
          <w:highlight w:val="none"/>
        </w:rPr>
      </w:pPr>
    </w:p>
    <w:p w14:paraId="04ECDE69">
      <w:pPr>
        <w:spacing w:line="360" w:lineRule="auto"/>
        <w:rPr>
          <w:rFonts w:ascii="宋体" w:hAnsi="宋体" w:cs="新宋体"/>
          <w:color w:val="auto"/>
          <w:szCs w:val="21"/>
          <w:highlight w:val="none"/>
        </w:rPr>
      </w:pPr>
    </w:p>
    <w:p w14:paraId="6FD5FCBD">
      <w:pPr>
        <w:spacing w:line="360" w:lineRule="auto"/>
        <w:rPr>
          <w:rFonts w:ascii="宋体" w:hAnsi="宋体" w:cs="新宋体"/>
          <w:color w:val="auto"/>
          <w:szCs w:val="21"/>
          <w:highlight w:val="none"/>
        </w:rPr>
      </w:pPr>
    </w:p>
    <w:p w14:paraId="694D0F28">
      <w:pPr>
        <w:spacing w:line="360" w:lineRule="auto"/>
        <w:rPr>
          <w:rFonts w:ascii="宋体" w:hAnsi="宋体" w:cs="新宋体"/>
          <w:color w:val="auto"/>
          <w:szCs w:val="21"/>
          <w:highlight w:val="none"/>
        </w:rPr>
      </w:pPr>
    </w:p>
    <w:p w14:paraId="619C133D">
      <w:pPr>
        <w:jc w:val="center"/>
        <w:rPr>
          <w:rFonts w:ascii="宋体" w:hAnsi="宋体" w:cs="新宋体"/>
          <w:color w:val="auto"/>
          <w:sz w:val="28"/>
          <w:szCs w:val="28"/>
          <w:highlight w:val="none"/>
        </w:rPr>
      </w:pPr>
      <w:r>
        <w:rPr>
          <w:rFonts w:hint="eastAsia" w:ascii="宋体" w:hAnsi="宋体" w:cs="新宋体"/>
          <w:color w:val="auto"/>
          <w:sz w:val="28"/>
          <w:szCs w:val="28"/>
          <w:highlight w:val="none"/>
        </w:rPr>
        <w:t>投标人：</w:t>
      </w: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（盖单位章）</w:t>
      </w:r>
    </w:p>
    <w:p w14:paraId="7EDAF819">
      <w:pPr>
        <w:rPr>
          <w:rFonts w:ascii="宋体" w:hAnsi="宋体" w:cs="新宋体"/>
          <w:color w:val="auto"/>
          <w:sz w:val="28"/>
          <w:szCs w:val="28"/>
          <w:highlight w:val="none"/>
          <w:u w:val="single"/>
        </w:rPr>
      </w:pPr>
    </w:p>
    <w:p w14:paraId="2EE08F70">
      <w:pPr>
        <w:jc w:val="center"/>
        <w:rPr>
          <w:rFonts w:ascii="宋体" w:hAnsi="宋体" w:cs="新宋体"/>
          <w:color w:val="auto"/>
          <w:sz w:val="28"/>
          <w:szCs w:val="28"/>
          <w:highlight w:val="none"/>
        </w:rPr>
      </w:pPr>
      <w:r>
        <w:rPr>
          <w:rFonts w:hint="eastAsia" w:ascii="宋体" w:hAnsi="宋体" w:cs="新宋体"/>
          <w:color w:val="auto"/>
          <w:sz w:val="28"/>
          <w:szCs w:val="28"/>
          <w:highlight w:val="none"/>
        </w:rPr>
        <w:t>法定代表人或授权代表：</w:t>
      </w: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（签字或盖章）</w:t>
      </w:r>
    </w:p>
    <w:p w14:paraId="61C8C20A">
      <w:pPr>
        <w:rPr>
          <w:rFonts w:ascii="宋体" w:hAnsi="宋体" w:cs="新宋体"/>
          <w:color w:val="auto"/>
          <w:sz w:val="28"/>
          <w:szCs w:val="28"/>
          <w:highlight w:val="none"/>
        </w:rPr>
      </w:pPr>
    </w:p>
    <w:p w14:paraId="6F7BC4AC">
      <w:pPr>
        <w:overflowPunct w:val="0"/>
        <w:spacing w:line="380" w:lineRule="exact"/>
        <w:ind w:firstLine="2738" w:firstLineChars="978"/>
        <w:rPr>
          <w:rFonts w:ascii="宋体" w:hAnsi="宋体" w:cs="新宋体"/>
          <w:color w:val="auto"/>
          <w:sz w:val="28"/>
          <w:szCs w:val="28"/>
          <w:highlight w:val="none"/>
        </w:rPr>
      </w:pP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年</w:t>
      </w: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月</w:t>
      </w:r>
      <w:r>
        <w:rPr>
          <w:rFonts w:hint="eastAsia" w:ascii="宋体" w:hAnsi="宋体" w:cs="新宋体"/>
          <w:color w:val="auto"/>
          <w:sz w:val="28"/>
          <w:szCs w:val="28"/>
          <w:highlight w:val="none"/>
          <w:u w:val="single"/>
        </w:rPr>
        <w:t xml:space="preserve">        </w:t>
      </w:r>
      <w:r>
        <w:rPr>
          <w:rFonts w:hint="eastAsia" w:ascii="宋体" w:hAnsi="宋体" w:cs="新宋体"/>
          <w:color w:val="auto"/>
          <w:sz w:val="28"/>
          <w:szCs w:val="28"/>
          <w:highlight w:val="none"/>
        </w:rPr>
        <w:t>日</w:t>
      </w:r>
    </w:p>
    <w:p w14:paraId="6B7D62ED">
      <w:pPr>
        <w:widowControl/>
        <w:jc w:val="left"/>
        <w:rPr>
          <w:rFonts w:ascii="宋体" w:hAnsi="宋体"/>
          <w:b/>
          <w:color w:val="auto"/>
          <w:sz w:val="28"/>
          <w:szCs w:val="28"/>
          <w:highlight w:val="none"/>
        </w:rPr>
      </w:pPr>
    </w:p>
    <w:p w14:paraId="4AD4D1F6">
      <w:pPr>
        <w:spacing w:line="360" w:lineRule="auto"/>
        <w:jc w:val="left"/>
        <w:outlineLvl w:val="3"/>
        <w:rPr>
          <w:rFonts w:ascii="宋体" w:hAnsi="宋体"/>
          <w:bCs/>
          <w:color w:val="auto"/>
          <w:sz w:val="28"/>
          <w:szCs w:val="28"/>
          <w:highlight w:val="none"/>
        </w:rPr>
      </w:pPr>
      <w:r>
        <w:rPr>
          <w:rFonts w:ascii="宋体" w:hAnsi="宋体"/>
          <w:b/>
          <w:color w:val="auto"/>
          <w:sz w:val="28"/>
          <w:szCs w:val="28"/>
          <w:highlight w:val="none"/>
        </w:rPr>
        <w:br w:type="page"/>
      </w:r>
      <w:r>
        <w:rPr>
          <w:rFonts w:hint="eastAsia" w:ascii="宋体" w:hAnsi="宋体"/>
          <w:color w:val="auto"/>
          <w:sz w:val="28"/>
          <w:szCs w:val="32"/>
          <w:highlight w:val="none"/>
        </w:rPr>
        <w:t>附件十五</w:t>
      </w:r>
    </w:p>
    <w:p w14:paraId="32685FF7">
      <w:pPr>
        <w:spacing w:line="400" w:lineRule="exact"/>
        <w:jc w:val="center"/>
        <w:outlineLvl w:val="4"/>
        <w:rPr>
          <w:rFonts w:ascii="宋体" w:hAnsi="宋体" w:cs="宋体"/>
          <w:color w:val="auto"/>
          <w:sz w:val="28"/>
          <w:szCs w:val="20"/>
          <w:highlight w:val="none"/>
        </w:rPr>
      </w:pPr>
      <w:r>
        <w:rPr>
          <w:rFonts w:hint="eastAsia" w:ascii="宋体" w:hAnsi="宋体" w:cs="宋体"/>
          <w:b/>
          <w:bCs/>
          <w:color w:val="auto"/>
          <w:sz w:val="28"/>
          <w:szCs w:val="20"/>
          <w:highlight w:val="none"/>
        </w:rPr>
        <w:t>投标报价一览表</w:t>
      </w:r>
    </w:p>
    <w:p w14:paraId="267B71C3">
      <w:pPr>
        <w:spacing w:line="380" w:lineRule="exact"/>
        <w:ind w:firstLine="103" w:firstLineChars="49"/>
        <w:rPr>
          <w:rFonts w:ascii="宋体" w:hAnsi="宋体"/>
          <w:b/>
          <w:bCs/>
          <w:color w:val="auto"/>
          <w:szCs w:val="21"/>
          <w:highlight w:val="none"/>
        </w:rPr>
      </w:pPr>
      <w:r>
        <w:rPr>
          <w:rFonts w:hint="eastAsia" w:ascii="宋体" w:hAnsi="宋体"/>
          <w:b/>
          <w:bCs/>
          <w:color w:val="auto"/>
          <w:szCs w:val="21"/>
          <w:highlight w:val="none"/>
        </w:rPr>
        <w:t xml:space="preserve">   </w:t>
      </w:r>
    </w:p>
    <w:tbl>
      <w:tblPr>
        <w:tblStyle w:val="30"/>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6238"/>
      </w:tblGrid>
      <w:tr w14:paraId="02E7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8" w:hRule="atLeast"/>
          <w:jc w:val="center"/>
        </w:trPr>
        <w:tc>
          <w:tcPr>
            <w:tcW w:w="2506" w:type="dxa"/>
            <w:vAlign w:val="center"/>
          </w:tcPr>
          <w:p w14:paraId="30064887">
            <w:pPr>
              <w:pStyle w:val="16"/>
              <w:spacing w:beforeLines="0" w:afterLines="0" w:line="400" w:lineRule="atLeast"/>
              <w:jc w:val="center"/>
              <w:rPr>
                <w:rFonts w:hAnsi="宋体" w:cs="Arial"/>
                <w:b/>
                <w:color w:val="auto"/>
                <w:sz w:val="22"/>
                <w:szCs w:val="22"/>
                <w:highlight w:val="none"/>
              </w:rPr>
            </w:pPr>
            <w:r>
              <w:rPr>
                <w:rFonts w:hint="eastAsia" w:hAnsi="宋体"/>
                <w:b/>
                <w:color w:val="auto"/>
                <w:sz w:val="22"/>
                <w:szCs w:val="22"/>
                <w:highlight w:val="none"/>
              </w:rPr>
              <w:t>内容</w:t>
            </w:r>
          </w:p>
        </w:tc>
        <w:tc>
          <w:tcPr>
            <w:tcW w:w="6238" w:type="dxa"/>
            <w:vAlign w:val="center"/>
          </w:tcPr>
          <w:p w14:paraId="3433726C">
            <w:pPr>
              <w:pStyle w:val="16"/>
              <w:spacing w:beforeLines="0" w:afterLines="0" w:line="460" w:lineRule="atLeast"/>
              <w:jc w:val="center"/>
              <w:rPr>
                <w:rFonts w:hAnsi="宋体" w:cs="宋体"/>
                <w:b/>
                <w:color w:val="auto"/>
                <w:kern w:val="2"/>
                <w:sz w:val="22"/>
                <w:szCs w:val="22"/>
                <w:highlight w:val="none"/>
              </w:rPr>
            </w:pPr>
            <w:r>
              <w:rPr>
                <w:rFonts w:hint="eastAsia" w:hAnsi="宋体"/>
                <w:b/>
                <w:color w:val="auto"/>
                <w:sz w:val="22"/>
                <w:szCs w:val="22"/>
                <w:highlight w:val="none"/>
              </w:rPr>
              <w:t>服务期限</w:t>
            </w:r>
          </w:p>
        </w:tc>
      </w:tr>
      <w:tr w14:paraId="29F9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2506" w:type="dxa"/>
            <w:vAlign w:val="center"/>
          </w:tcPr>
          <w:p w14:paraId="7623EBCE">
            <w:pPr>
              <w:pStyle w:val="16"/>
              <w:spacing w:beforeLines="0" w:afterLines="0" w:line="400" w:lineRule="atLeast"/>
              <w:jc w:val="center"/>
              <w:rPr>
                <w:rFonts w:hint="eastAsia" w:hAnsi="宋体" w:eastAsia="宋体"/>
                <w:b/>
                <w:color w:val="auto"/>
                <w:sz w:val="22"/>
                <w:szCs w:val="22"/>
                <w:highlight w:val="none"/>
                <w:lang w:eastAsia="zh-CN"/>
              </w:rPr>
            </w:pPr>
            <w:r>
              <w:rPr>
                <w:rFonts w:hint="eastAsia" w:hAnsi="宋体"/>
                <w:bCs/>
                <w:color w:val="auto"/>
                <w:sz w:val="22"/>
                <w:szCs w:val="22"/>
                <w:highlight w:val="none"/>
                <w:lang w:eastAsia="zh-CN"/>
              </w:rPr>
              <w:t>温州港乐清湾港区A区一期集装箱能力提升工程环境影响评价</w:t>
            </w:r>
          </w:p>
        </w:tc>
        <w:tc>
          <w:tcPr>
            <w:tcW w:w="6238" w:type="dxa"/>
            <w:vAlign w:val="center"/>
          </w:tcPr>
          <w:p w14:paraId="7C16A0FF">
            <w:pPr>
              <w:spacing w:line="360" w:lineRule="auto"/>
              <w:jc w:val="left"/>
              <w:rPr>
                <w:rFonts w:hAnsi="宋体" w:cs="宋体"/>
                <w:color w:val="auto"/>
                <w:sz w:val="22"/>
                <w:szCs w:val="22"/>
                <w:highlight w:val="none"/>
              </w:rPr>
            </w:pPr>
            <w:r>
              <w:rPr>
                <w:rFonts w:hint="eastAsia" w:ascii="宋体" w:hAnsi="宋体" w:cs="宋体"/>
                <w:color w:val="auto"/>
                <w:sz w:val="22"/>
                <w:szCs w:val="22"/>
                <w:highlight w:val="none"/>
              </w:rPr>
              <w:t>合同签订后</w:t>
            </w:r>
            <w:r>
              <w:rPr>
                <w:rFonts w:hint="eastAsia" w:ascii="宋体" w:hAnsi="宋体" w:cs="宋体"/>
                <w:color w:val="auto"/>
                <w:sz w:val="22"/>
                <w:szCs w:val="22"/>
                <w:highlight w:val="none"/>
                <w:u w:val="single"/>
                <w:lang w:val="en-US" w:eastAsia="zh-CN"/>
              </w:rPr>
              <w:t xml:space="preserve">     </w:t>
            </w:r>
            <w:r>
              <w:rPr>
                <w:rFonts w:ascii="宋体" w:hAnsi="宋体" w:cs="宋体"/>
                <w:color w:val="auto"/>
                <w:sz w:val="22"/>
                <w:szCs w:val="22"/>
                <w:highlight w:val="none"/>
              </w:rPr>
              <w:t>天内</w:t>
            </w:r>
            <w:r>
              <w:rPr>
                <w:rFonts w:hint="eastAsia" w:ascii="宋体" w:hAnsi="宋体" w:cs="宋体"/>
                <w:color w:val="auto"/>
                <w:sz w:val="22"/>
                <w:szCs w:val="22"/>
                <w:highlight w:val="none"/>
              </w:rPr>
              <w:t>提交环境影响报告书送审稿，</w:t>
            </w:r>
            <w:r>
              <w:rPr>
                <w:rFonts w:hint="eastAsia" w:ascii="宋体" w:hAnsi="宋体" w:cs="宋体"/>
                <w:color w:val="auto"/>
                <w:sz w:val="22"/>
                <w:szCs w:val="22"/>
                <w:highlight w:val="none"/>
                <w:lang w:val="en-US" w:eastAsia="zh-CN"/>
              </w:rPr>
              <w:t>送审稿</w:t>
            </w:r>
            <w:r>
              <w:rPr>
                <w:rFonts w:hint="eastAsia" w:ascii="宋体" w:hAnsi="宋体" w:cs="宋体"/>
                <w:color w:val="auto"/>
                <w:sz w:val="22"/>
                <w:szCs w:val="22"/>
                <w:highlight w:val="none"/>
              </w:rPr>
              <w:t>经过专家评审</w:t>
            </w:r>
            <w:r>
              <w:rPr>
                <w:rFonts w:hint="eastAsia" w:ascii="宋体" w:hAnsi="宋体" w:cs="宋体"/>
                <w:color w:val="auto"/>
                <w:sz w:val="22"/>
                <w:szCs w:val="22"/>
                <w:highlight w:val="none"/>
                <w:lang w:val="en-US" w:eastAsia="zh-CN"/>
              </w:rPr>
              <w:t>及</w:t>
            </w:r>
            <w:r>
              <w:rPr>
                <w:rFonts w:hint="eastAsia" w:ascii="宋体" w:hAnsi="宋体" w:cs="宋体"/>
                <w:color w:val="auto"/>
                <w:sz w:val="22"/>
                <w:szCs w:val="22"/>
                <w:highlight w:val="none"/>
              </w:rPr>
              <w:t>公示结束后7天内提交报批稿</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并协助招标人完成相关报批工作。报批稿</w:t>
            </w:r>
            <w:r>
              <w:rPr>
                <w:rFonts w:hint="eastAsia" w:ascii="宋体" w:hAnsi="宋体" w:cs="宋体"/>
                <w:color w:val="auto"/>
                <w:sz w:val="22"/>
                <w:szCs w:val="22"/>
                <w:highlight w:val="none"/>
                <w:lang w:val="en-US" w:eastAsia="zh-CN"/>
              </w:rPr>
              <w:t>经</w:t>
            </w:r>
            <w:r>
              <w:rPr>
                <w:rFonts w:hint="eastAsia" w:ascii="宋体" w:hAnsi="宋体" w:cs="宋体"/>
                <w:color w:val="auto"/>
                <w:sz w:val="22"/>
                <w:szCs w:val="22"/>
                <w:highlight w:val="none"/>
              </w:rPr>
              <w:t>主管部门审批</w:t>
            </w:r>
            <w:r>
              <w:rPr>
                <w:rFonts w:hint="eastAsia" w:ascii="宋体" w:hAnsi="宋体" w:cs="宋体"/>
                <w:color w:val="auto"/>
                <w:sz w:val="22"/>
                <w:szCs w:val="22"/>
                <w:highlight w:val="none"/>
                <w:lang w:val="en-US" w:eastAsia="zh-CN"/>
              </w:rPr>
              <w:t>同意后</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中标人</w:t>
            </w:r>
            <w:r>
              <w:rPr>
                <w:rFonts w:hint="eastAsia" w:ascii="宋体" w:hAnsi="宋体" w:cs="宋体"/>
                <w:color w:val="auto"/>
                <w:sz w:val="22"/>
                <w:szCs w:val="22"/>
                <w:highlight w:val="none"/>
              </w:rPr>
              <w:t>免费提供后续技术服务支持直至工程</w:t>
            </w:r>
            <w:r>
              <w:rPr>
                <w:rFonts w:hint="eastAsia" w:ascii="宋体" w:hAnsi="宋体" w:cs="宋体"/>
                <w:color w:val="auto"/>
                <w:sz w:val="22"/>
                <w:szCs w:val="22"/>
                <w:highlight w:val="none"/>
                <w:lang w:val="en-US" w:eastAsia="zh-CN"/>
              </w:rPr>
              <w:t>竣工</w:t>
            </w:r>
            <w:r>
              <w:rPr>
                <w:rFonts w:hint="eastAsia" w:ascii="宋体" w:hAnsi="宋体" w:cs="宋体"/>
                <w:color w:val="auto"/>
                <w:sz w:val="22"/>
                <w:szCs w:val="22"/>
                <w:highlight w:val="none"/>
              </w:rPr>
              <w:t>，具体</w:t>
            </w:r>
            <w:r>
              <w:rPr>
                <w:rFonts w:hint="eastAsia" w:ascii="宋体" w:hAnsi="宋体" w:cs="宋体"/>
                <w:color w:val="auto"/>
                <w:sz w:val="22"/>
                <w:szCs w:val="22"/>
                <w:highlight w:val="none"/>
                <w:lang w:val="en-US" w:eastAsia="zh-CN"/>
              </w:rPr>
              <w:t>服务</w:t>
            </w:r>
            <w:r>
              <w:rPr>
                <w:rFonts w:hint="eastAsia" w:ascii="宋体" w:hAnsi="宋体" w:cs="宋体"/>
                <w:color w:val="auto"/>
                <w:sz w:val="22"/>
                <w:szCs w:val="22"/>
                <w:highlight w:val="none"/>
              </w:rPr>
              <w:t>时间根据招标人实际工作</w:t>
            </w:r>
            <w:r>
              <w:rPr>
                <w:rFonts w:hint="eastAsia" w:ascii="宋体" w:hAnsi="宋体" w:cs="宋体"/>
                <w:color w:val="auto"/>
                <w:sz w:val="22"/>
                <w:szCs w:val="22"/>
                <w:highlight w:val="none"/>
                <w:lang w:val="en-US" w:eastAsia="zh-CN"/>
              </w:rPr>
              <w:t>安排</w:t>
            </w:r>
            <w:r>
              <w:rPr>
                <w:rFonts w:hint="eastAsia" w:ascii="宋体" w:hAnsi="宋体" w:cs="宋体"/>
                <w:color w:val="auto"/>
                <w:sz w:val="22"/>
                <w:szCs w:val="22"/>
                <w:highlight w:val="none"/>
              </w:rPr>
              <w:t>确定。</w:t>
            </w:r>
          </w:p>
        </w:tc>
      </w:tr>
      <w:tr w14:paraId="0098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2506" w:type="dxa"/>
            <w:vAlign w:val="center"/>
          </w:tcPr>
          <w:p w14:paraId="5910B388">
            <w:pPr>
              <w:pStyle w:val="16"/>
              <w:spacing w:beforeLines="0" w:afterLines="0" w:line="460" w:lineRule="atLeast"/>
              <w:jc w:val="center"/>
              <w:rPr>
                <w:rFonts w:hAnsi="宋体" w:cs="宋体"/>
                <w:bCs/>
                <w:color w:val="auto"/>
                <w:kern w:val="2"/>
                <w:sz w:val="22"/>
                <w:szCs w:val="22"/>
              </w:rPr>
            </w:pPr>
            <w:r>
              <w:rPr>
                <w:rFonts w:hint="eastAsia" w:hAnsi="宋体" w:cs="宋体"/>
                <w:bCs/>
                <w:color w:val="auto"/>
                <w:kern w:val="2"/>
                <w:sz w:val="22"/>
                <w:szCs w:val="22"/>
              </w:rPr>
              <w:t>投标报价</w:t>
            </w:r>
          </w:p>
          <w:p w14:paraId="118C155B">
            <w:pPr>
              <w:pStyle w:val="16"/>
              <w:spacing w:beforeLines="0" w:afterLines="0" w:line="460" w:lineRule="atLeast"/>
              <w:jc w:val="center"/>
              <w:rPr>
                <w:rFonts w:hAnsi="宋体" w:cs="宋体"/>
                <w:b/>
                <w:color w:val="auto"/>
                <w:kern w:val="2"/>
                <w:sz w:val="22"/>
                <w:szCs w:val="22"/>
              </w:rPr>
            </w:pPr>
            <w:r>
              <w:rPr>
                <w:rFonts w:hint="eastAsia" w:hAnsi="宋体" w:cs="宋体"/>
                <w:bCs/>
                <w:color w:val="auto"/>
                <w:kern w:val="2"/>
                <w:sz w:val="22"/>
                <w:szCs w:val="22"/>
              </w:rPr>
              <w:t>（总价）</w:t>
            </w:r>
          </w:p>
        </w:tc>
        <w:tc>
          <w:tcPr>
            <w:tcW w:w="6238" w:type="dxa"/>
            <w:vAlign w:val="center"/>
          </w:tcPr>
          <w:p w14:paraId="252D69A6">
            <w:pPr>
              <w:pStyle w:val="16"/>
              <w:spacing w:beforeLines="0" w:afterLines="0" w:line="460" w:lineRule="atLeast"/>
              <w:jc w:val="center"/>
              <w:rPr>
                <w:rFonts w:hAnsi="宋体" w:cs="宋体"/>
                <w:b/>
                <w:bCs/>
                <w:color w:val="auto"/>
                <w:kern w:val="2"/>
                <w:sz w:val="22"/>
                <w:szCs w:val="22"/>
              </w:rPr>
            </w:pPr>
            <w:r>
              <w:rPr>
                <w:rFonts w:hint="eastAsia" w:hAnsi="宋体" w:cs="宋体"/>
                <w:color w:val="auto"/>
                <w:kern w:val="2"/>
                <w:sz w:val="22"/>
                <w:szCs w:val="22"/>
              </w:rPr>
              <w:t>（大写）：</w:t>
            </w:r>
            <w:r>
              <w:rPr>
                <w:rFonts w:hint="eastAsia" w:hAnsi="宋体" w:cs="宋体"/>
                <w:color w:val="auto"/>
                <w:kern w:val="2"/>
                <w:sz w:val="22"/>
                <w:szCs w:val="22"/>
                <w:u w:val="single"/>
              </w:rPr>
              <w:t xml:space="preserve"> </w:t>
            </w:r>
            <w:r>
              <w:rPr>
                <w:rFonts w:hAnsi="宋体" w:cs="宋体"/>
                <w:color w:val="auto"/>
                <w:kern w:val="2"/>
                <w:sz w:val="22"/>
                <w:szCs w:val="22"/>
                <w:u w:val="single"/>
              </w:rPr>
              <w:t xml:space="preserve">  </w:t>
            </w:r>
            <w:r>
              <w:rPr>
                <w:rFonts w:hint="eastAsia" w:hAnsi="宋体" w:cs="宋体"/>
                <w:color w:val="auto"/>
                <w:kern w:val="2"/>
                <w:sz w:val="22"/>
                <w:szCs w:val="22"/>
                <w:u w:val="single"/>
              </w:rPr>
              <w:t xml:space="preserve"> </w:t>
            </w:r>
            <w:r>
              <w:rPr>
                <w:rFonts w:hAnsi="宋体" w:cs="宋体"/>
                <w:color w:val="auto"/>
                <w:kern w:val="2"/>
                <w:sz w:val="22"/>
                <w:szCs w:val="22"/>
                <w:u w:val="single"/>
              </w:rPr>
              <w:t xml:space="preserve">   </w:t>
            </w:r>
            <w:r>
              <w:rPr>
                <w:rFonts w:hint="eastAsia" w:hAnsi="宋体" w:cs="宋体"/>
                <w:color w:val="auto"/>
                <w:kern w:val="2"/>
                <w:sz w:val="22"/>
                <w:szCs w:val="22"/>
              </w:rPr>
              <w:t>元/人民币</w:t>
            </w:r>
          </w:p>
          <w:p w14:paraId="0A5E55E8">
            <w:pPr>
              <w:pStyle w:val="16"/>
              <w:spacing w:beforeLines="0" w:afterLines="0" w:line="460" w:lineRule="atLeast"/>
              <w:jc w:val="center"/>
              <w:rPr>
                <w:rFonts w:hAnsi="宋体" w:cs="宋体"/>
                <w:color w:val="auto"/>
                <w:kern w:val="2"/>
                <w:sz w:val="22"/>
                <w:szCs w:val="22"/>
              </w:rPr>
            </w:pPr>
            <w:r>
              <w:rPr>
                <w:rFonts w:hint="eastAsia" w:hAnsi="宋体" w:cs="宋体"/>
                <w:color w:val="auto"/>
                <w:kern w:val="2"/>
                <w:sz w:val="22"/>
                <w:szCs w:val="22"/>
              </w:rPr>
              <w:t>（小写）：¥</w:t>
            </w:r>
            <w:r>
              <w:rPr>
                <w:rFonts w:hint="eastAsia" w:hAnsi="宋体" w:cs="宋体"/>
                <w:color w:val="auto"/>
                <w:kern w:val="2"/>
                <w:sz w:val="22"/>
                <w:szCs w:val="22"/>
                <w:u w:val="single"/>
              </w:rPr>
              <w:t xml:space="preserve">      </w:t>
            </w:r>
            <w:r>
              <w:rPr>
                <w:rFonts w:hint="eastAsia" w:hAnsi="宋体" w:cs="宋体"/>
                <w:color w:val="auto"/>
                <w:kern w:val="2"/>
                <w:sz w:val="22"/>
                <w:szCs w:val="22"/>
              </w:rPr>
              <w:t>元/人民币</w:t>
            </w:r>
          </w:p>
        </w:tc>
      </w:tr>
    </w:tbl>
    <w:p w14:paraId="6570D0D1">
      <w:pPr>
        <w:spacing w:line="360" w:lineRule="auto"/>
        <w:rPr>
          <w:rFonts w:ascii="宋体" w:hAnsi="宋体"/>
          <w:b/>
          <w:bCs/>
          <w:color w:val="auto"/>
          <w:sz w:val="22"/>
          <w:szCs w:val="22"/>
        </w:rPr>
      </w:pPr>
      <w:r>
        <w:rPr>
          <w:rFonts w:hint="eastAsia" w:ascii="宋体" w:hAnsi="宋体"/>
          <w:b/>
          <w:bCs/>
          <w:color w:val="auto"/>
          <w:sz w:val="22"/>
          <w:szCs w:val="22"/>
        </w:rPr>
        <w:t>说明：</w:t>
      </w:r>
      <w:r>
        <w:rPr>
          <w:rFonts w:ascii="宋体" w:hAnsi="宋体"/>
          <w:b/>
          <w:bCs/>
          <w:color w:val="auto"/>
          <w:sz w:val="22"/>
          <w:szCs w:val="22"/>
        </w:rPr>
        <w:t xml:space="preserve"> </w:t>
      </w:r>
    </w:p>
    <w:p w14:paraId="42E376AB">
      <w:pPr>
        <w:spacing w:line="360" w:lineRule="auto"/>
        <w:rPr>
          <w:rFonts w:ascii="宋体" w:hAnsi="宋体"/>
          <w:b/>
          <w:bCs/>
          <w:color w:val="auto"/>
          <w:sz w:val="22"/>
          <w:szCs w:val="22"/>
        </w:rPr>
      </w:pPr>
      <w:r>
        <w:rPr>
          <w:rFonts w:ascii="宋体" w:hAnsi="宋体"/>
          <w:b/>
          <w:bCs/>
          <w:color w:val="auto"/>
          <w:sz w:val="22"/>
          <w:szCs w:val="22"/>
        </w:rPr>
        <w:t>1</w:t>
      </w:r>
      <w:r>
        <w:rPr>
          <w:rFonts w:hint="eastAsia" w:ascii="宋体" w:hAnsi="宋体"/>
          <w:b/>
          <w:bCs/>
          <w:color w:val="auto"/>
          <w:sz w:val="22"/>
          <w:szCs w:val="22"/>
        </w:rPr>
        <w:t>.★不提供投标报价一览表的投标文件将被视为未实质性响应招标文件。</w:t>
      </w:r>
    </w:p>
    <w:p w14:paraId="2B83F126">
      <w:pPr>
        <w:spacing w:line="360" w:lineRule="auto"/>
        <w:rPr>
          <w:rFonts w:ascii="宋体" w:hAnsi="宋体"/>
          <w:b/>
          <w:color w:val="auto"/>
          <w:sz w:val="22"/>
          <w:szCs w:val="22"/>
        </w:rPr>
      </w:pPr>
      <w:r>
        <w:rPr>
          <w:rFonts w:ascii="宋体" w:hAnsi="宋体"/>
          <w:b/>
          <w:bCs/>
          <w:color w:val="auto"/>
          <w:sz w:val="22"/>
          <w:szCs w:val="22"/>
        </w:rPr>
        <w:t>2</w:t>
      </w:r>
      <w:r>
        <w:rPr>
          <w:rFonts w:hint="eastAsia" w:ascii="宋体" w:hAnsi="宋体"/>
          <w:b/>
          <w:bCs/>
          <w:color w:val="auto"/>
          <w:sz w:val="22"/>
          <w:szCs w:val="22"/>
        </w:rPr>
        <w:t>.本次报价包含招标文件规定的</w:t>
      </w:r>
      <w:r>
        <w:rPr>
          <w:rFonts w:hint="eastAsia" w:ascii="宋体" w:hAnsi="宋体"/>
          <w:b/>
          <w:color w:val="auto"/>
          <w:sz w:val="22"/>
          <w:szCs w:val="22"/>
        </w:rPr>
        <w:t>包括但不限于勘测费、资料费、专家评审费、会务费、人工费、设备（软件）费、差旅费、印刷打印费、间接费用、保险税金、平台交易服务费、利润等一切费用，总价包干。</w:t>
      </w:r>
    </w:p>
    <w:p w14:paraId="481FE25D">
      <w:pPr>
        <w:spacing w:line="360" w:lineRule="auto"/>
        <w:rPr>
          <w:rFonts w:ascii="宋体" w:hAnsi="宋体"/>
          <w:b/>
          <w:bCs/>
          <w:color w:val="auto"/>
          <w:sz w:val="22"/>
          <w:szCs w:val="22"/>
        </w:rPr>
      </w:pPr>
      <w:r>
        <w:rPr>
          <w:rFonts w:hint="eastAsia" w:ascii="宋体" w:hAnsi="宋体"/>
          <w:b/>
          <w:bCs/>
          <w:color w:val="auto"/>
          <w:sz w:val="22"/>
          <w:szCs w:val="22"/>
        </w:rPr>
        <w:t xml:space="preserve"> </w:t>
      </w:r>
    </w:p>
    <w:p w14:paraId="7B379C90">
      <w:pPr>
        <w:rPr>
          <w:rFonts w:ascii="宋体" w:hAnsi="宋体"/>
          <w:color w:val="auto"/>
          <w:sz w:val="22"/>
          <w:szCs w:val="22"/>
        </w:rPr>
      </w:pPr>
    </w:p>
    <w:p w14:paraId="04896718">
      <w:pPr>
        <w:spacing w:before="156" w:beforeLines="50" w:after="156" w:afterLines="50" w:line="400" w:lineRule="exact"/>
        <w:ind w:firstLine="5390" w:firstLineChars="2450"/>
        <w:rPr>
          <w:rFonts w:ascii="宋体" w:hAnsi="宋体"/>
          <w:color w:val="auto"/>
          <w:sz w:val="22"/>
          <w:szCs w:val="22"/>
        </w:rPr>
      </w:pPr>
      <w:r>
        <w:rPr>
          <w:rFonts w:hint="eastAsia" w:ascii="宋体" w:hAnsi="宋体"/>
          <w:color w:val="auto"/>
          <w:sz w:val="22"/>
          <w:szCs w:val="22"/>
        </w:rPr>
        <w:t xml:space="preserve">投标人全称（加盖单位公章）： </w:t>
      </w:r>
    </w:p>
    <w:p w14:paraId="5AA726BE">
      <w:pPr>
        <w:spacing w:before="156" w:beforeLines="50" w:after="156" w:afterLines="50" w:line="400" w:lineRule="exact"/>
        <w:ind w:firstLine="5390" w:firstLineChars="2450"/>
        <w:rPr>
          <w:rFonts w:ascii="宋体" w:hAnsi="宋体"/>
          <w:color w:val="auto"/>
          <w:sz w:val="22"/>
          <w:szCs w:val="22"/>
        </w:rPr>
      </w:pPr>
      <w:r>
        <w:rPr>
          <w:rFonts w:hint="eastAsia" w:ascii="宋体" w:hAnsi="宋体"/>
          <w:color w:val="auto"/>
          <w:sz w:val="22"/>
          <w:szCs w:val="22"/>
        </w:rPr>
        <w:t>法定代表人或授权代表（签字</w:t>
      </w:r>
      <w:r>
        <w:rPr>
          <w:rFonts w:hint="eastAsia" w:ascii="宋体" w:hAnsi="宋体" w:cs="宋体"/>
          <w:color w:val="auto"/>
          <w:sz w:val="22"/>
          <w:szCs w:val="22"/>
        </w:rPr>
        <w:t>或盖章</w:t>
      </w:r>
      <w:r>
        <w:rPr>
          <w:rFonts w:hint="eastAsia" w:ascii="宋体" w:hAnsi="宋体"/>
          <w:color w:val="auto"/>
          <w:sz w:val="22"/>
          <w:szCs w:val="22"/>
        </w:rPr>
        <w:t>）：</w:t>
      </w:r>
    </w:p>
    <w:p w14:paraId="6488110A">
      <w:pPr>
        <w:spacing w:before="156" w:beforeLines="50" w:after="156" w:afterLines="50" w:line="400" w:lineRule="exact"/>
        <w:ind w:firstLine="5390" w:firstLineChars="2450"/>
        <w:rPr>
          <w:rFonts w:ascii="宋体" w:hAnsi="宋体"/>
          <w:color w:val="auto"/>
          <w:sz w:val="22"/>
          <w:szCs w:val="22"/>
        </w:rPr>
      </w:pPr>
      <w:r>
        <w:rPr>
          <w:rFonts w:hint="eastAsia" w:ascii="宋体" w:hAnsi="宋体"/>
          <w:color w:val="auto"/>
          <w:sz w:val="22"/>
          <w:szCs w:val="22"/>
        </w:rPr>
        <w:t>日 期：  年  月  日</w:t>
      </w:r>
    </w:p>
    <w:p w14:paraId="2C257E25">
      <w:pPr>
        <w:rPr>
          <w:rFonts w:ascii="宋体" w:hAnsi="宋体"/>
          <w:b/>
          <w:color w:val="000000"/>
          <w:sz w:val="22"/>
          <w:szCs w:val="22"/>
        </w:rPr>
      </w:pPr>
    </w:p>
    <w:p w14:paraId="4BB2A1A1">
      <w:pPr>
        <w:rPr>
          <w:rFonts w:ascii="宋体" w:hAnsi="宋体"/>
          <w:b/>
          <w:color w:val="000000"/>
          <w:sz w:val="22"/>
          <w:szCs w:val="22"/>
        </w:rPr>
      </w:pPr>
    </w:p>
    <w:p w14:paraId="0F2FD345"/>
    <w:sectPr>
      <w:pgSz w:w="11906" w:h="16838"/>
      <w:pgMar w:top="1440" w:right="1417" w:bottom="1440"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C62B753-A527-466E-895C-21EB7BDDD93F}"/>
  </w:font>
  <w:font w:name="Arial">
    <w:panose1 w:val="020B0604020202020204"/>
    <w:charset w:val="01"/>
    <w:family w:val="swiss"/>
    <w:pitch w:val="default"/>
    <w:sig w:usb0="E0002EFF" w:usb1="C000785B" w:usb2="00000009" w:usb3="00000000" w:csb0="400001FF" w:csb1="FFFF0000"/>
    <w:embedRegular r:id="rId2" w:fontKey="{C32F717E-593E-47E3-86AB-A813A1705CD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3" w:fontKey="{F6AAB602-0ED8-4BE9-A020-D342E1BD723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4" w:fontKey="{635AEA09-FACD-49EF-9203-463C96B6D144}"/>
  </w:font>
  <w:font w:name="Century Gothic">
    <w:panose1 w:val="020B05020202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0A1B6EBD-8D95-42B1-8CC6-9253AB71F8D7}"/>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汉仪楷体简">
    <w:altName w:val="宋体"/>
    <w:panose1 w:val="00000000000000000000"/>
    <w:charset w:val="86"/>
    <w:family w:val="modern"/>
    <w:pitch w:val="default"/>
    <w:sig w:usb0="00000000" w:usb1="00000000" w:usb2="00000002" w:usb3="00000000" w:csb0="00040000" w:csb1="00000000"/>
  </w:font>
  <w:font w:name="新宋体">
    <w:panose1 w:val="02010609030101010101"/>
    <w:charset w:val="86"/>
    <w:family w:val="modern"/>
    <w:pitch w:val="default"/>
    <w:sig w:usb0="00000203" w:usb1="288F0000" w:usb2="00000006" w:usb3="00000000" w:csb0="00040001" w:csb1="00000000"/>
    <w:embedRegular r:id="rId6" w:fontKey="{F07BBE95-A4DA-473D-9C1D-238A0A81CD63}"/>
  </w:font>
  <w:font w:name="微软雅黑">
    <w:panose1 w:val="020B0503020204020204"/>
    <w:charset w:val="86"/>
    <w:family w:val="swiss"/>
    <w:pitch w:val="default"/>
    <w:sig w:usb0="80000287" w:usb1="2ACF3C50" w:usb2="00000016" w:usb3="00000000" w:csb0="0004001F" w:csb1="00000000"/>
    <w:embedRegular r:id="rId7" w:fontKey="{6CFE410D-96D5-41A9-923A-497FEEC938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C810">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C13C8">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1C5FE">
                          <w:pPr>
                            <w:pStyle w:val="19"/>
                            <w:jc w:val="center"/>
                          </w:pPr>
                          <w:r>
                            <w:fldChar w:fldCharType="begin"/>
                          </w:r>
                          <w:r>
                            <w:instrText xml:space="preserve">PAGE   \* MERGEFORMAT</w:instrText>
                          </w:r>
                          <w:r>
                            <w:fldChar w:fldCharType="separate"/>
                          </w:r>
                          <w:r>
                            <w:rPr>
                              <w:lang w:val="zh-CN"/>
                            </w:rPr>
                            <w:t>6</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841C5FE">
                    <w:pPr>
                      <w:pStyle w:val="19"/>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14:paraId="58364E62">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A8DC5"/>
    <w:multiLevelType w:val="singleLevel"/>
    <w:tmpl w:val="F74A8DC5"/>
    <w:lvl w:ilvl="0" w:tentative="0">
      <w:start w:val="4"/>
      <w:numFmt w:val="decimal"/>
      <w:suff w:val="nothing"/>
      <w:lvlText w:val="%1、"/>
      <w:lvlJc w:val="left"/>
    </w:lvl>
  </w:abstractNum>
  <w:abstractNum w:abstractNumId="1">
    <w:nsid w:val="00000001"/>
    <w:multiLevelType w:val="singleLevel"/>
    <w:tmpl w:val="00000001"/>
    <w:lvl w:ilvl="0" w:tentative="0">
      <w:start w:val="1"/>
      <w:numFmt w:val="decimal"/>
      <w:pStyle w:val="8"/>
      <w:lvlText w:val="%1."/>
      <w:lvlJc w:val="left"/>
      <w:pPr>
        <w:tabs>
          <w:tab w:val="left" w:pos="360"/>
        </w:tabs>
        <w:ind w:left="360" w:hanging="360"/>
      </w:pPr>
    </w:lvl>
  </w:abstractNum>
  <w:abstractNum w:abstractNumId="2">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3">
    <w:nsid w:val="00000007"/>
    <w:multiLevelType w:val="multilevel"/>
    <w:tmpl w:val="00000007"/>
    <w:lvl w:ilvl="0" w:tentative="0">
      <w:start w:val="1"/>
      <w:numFmt w:val="japaneseCounting"/>
      <w:pStyle w:val="67"/>
      <w:lvlText w:val="第%1条"/>
      <w:lvlJc w:val="left"/>
      <w:pPr>
        <w:tabs>
          <w:tab w:val="left" w:pos="1800"/>
        </w:tabs>
        <w:ind w:left="1800" w:hanging="1200"/>
      </w:pPr>
      <w:rPr>
        <w:rFonts w:hint="eastAsia" w:ascii="黑体" w:eastAsia="黑体"/>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5C85F025"/>
    <w:multiLevelType w:val="singleLevel"/>
    <w:tmpl w:val="5C85F025"/>
    <w:lvl w:ilvl="0" w:tentative="0">
      <w:start w:val="1"/>
      <w:numFmt w:val="decimal"/>
      <w:suff w:val="nothing"/>
      <w:lvlText w:val="%1、"/>
      <w:lvlJc w:val="left"/>
    </w:lvl>
  </w:abstractNum>
  <w:abstractNum w:abstractNumId="5">
    <w:nsid w:val="5E3F1962"/>
    <w:multiLevelType w:val="singleLevel"/>
    <w:tmpl w:val="5E3F1962"/>
    <w:lvl w:ilvl="0" w:tentative="0">
      <w:start w:val="1"/>
      <w:numFmt w:val="chineseCounting"/>
      <w:suff w:val="nothing"/>
      <w:lvlText w:val="%1、"/>
      <w:lvlJc w:val="left"/>
      <w:rPr>
        <w:rFonts w:hint="eastAsia"/>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kNjU4Y2QwZWRmNzYxY2QxZGQ4ZDMwODJjZTQ3MTUifQ=="/>
  </w:docVars>
  <w:rsids>
    <w:rsidRoot w:val="00172A27"/>
    <w:rsid w:val="000015F7"/>
    <w:rsid w:val="000062BC"/>
    <w:rsid w:val="000167D1"/>
    <w:rsid w:val="0002117A"/>
    <w:rsid w:val="0002794A"/>
    <w:rsid w:val="00031F27"/>
    <w:rsid w:val="000323BB"/>
    <w:rsid w:val="00036454"/>
    <w:rsid w:val="00036475"/>
    <w:rsid w:val="00037BC5"/>
    <w:rsid w:val="000452EF"/>
    <w:rsid w:val="00046B73"/>
    <w:rsid w:val="00060F2E"/>
    <w:rsid w:val="0006206F"/>
    <w:rsid w:val="00071312"/>
    <w:rsid w:val="00074762"/>
    <w:rsid w:val="00077468"/>
    <w:rsid w:val="00080A9F"/>
    <w:rsid w:val="00082843"/>
    <w:rsid w:val="00083282"/>
    <w:rsid w:val="00085188"/>
    <w:rsid w:val="00090B3B"/>
    <w:rsid w:val="00094B74"/>
    <w:rsid w:val="00095D50"/>
    <w:rsid w:val="000966A8"/>
    <w:rsid w:val="000A0666"/>
    <w:rsid w:val="000A1350"/>
    <w:rsid w:val="000B7228"/>
    <w:rsid w:val="000B760E"/>
    <w:rsid w:val="000B7B97"/>
    <w:rsid w:val="000C0FCD"/>
    <w:rsid w:val="000C7A1E"/>
    <w:rsid w:val="000D153B"/>
    <w:rsid w:val="000D5EBF"/>
    <w:rsid w:val="000D70F9"/>
    <w:rsid w:val="000E489B"/>
    <w:rsid w:val="000E6FBE"/>
    <w:rsid w:val="000F22FF"/>
    <w:rsid w:val="000F2B41"/>
    <w:rsid w:val="000F7303"/>
    <w:rsid w:val="000F79A3"/>
    <w:rsid w:val="00101FC5"/>
    <w:rsid w:val="00102871"/>
    <w:rsid w:val="00117372"/>
    <w:rsid w:val="00121F7A"/>
    <w:rsid w:val="00122B12"/>
    <w:rsid w:val="00124AE3"/>
    <w:rsid w:val="00125B91"/>
    <w:rsid w:val="00134FEA"/>
    <w:rsid w:val="00140097"/>
    <w:rsid w:val="0014160D"/>
    <w:rsid w:val="00142328"/>
    <w:rsid w:val="00142B3F"/>
    <w:rsid w:val="00146B74"/>
    <w:rsid w:val="00151618"/>
    <w:rsid w:val="00156965"/>
    <w:rsid w:val="0016535D"/>
    <w:rsid w:val="001656E7"/>
    <w:rsid w:val="0016757F"/>
    <w:rsid w:val="001678A3"/>
    <w:rsid w:val="00171BF7"/>
    <w:rsid w:val="00172A27"/>
    <w:rsid w:val="00175B6A"/>
    <w:rsid w:val="001770CF"/>
    <w:rsid w:val="00177D20"/>
    <w:rsid w:val="0018245A"/>
    <w:rsid w:val="00185DA6"/>
    <w:rsid w:val="00190964"/>
    <w:rsid w:val="00191C36"/>
    <w:rsid w:val="00192CF4"/>
    <w:rsid w:val="00193B33"/>
    <w:rsid w:val="00196B36"/>
    <w:rsid w:val="001A58E4"/>
    <w:rsid w:val="001A6518"/>
    <w:rsid w:val="001B27BB"/>
    <w:rsid w:val="001B3BCD"/>
    <w:rsid w:val="001B5C7D"/>
    <w:rsid w:val="001D2924"/>
    <w:rsid w:val="001E251B"/>
    <w:rsid w:val="001F17C1"/>
    <w:rsid w:val="001F35C6"/>
    <w:rsid w:val="00210128"/>
    <w:rsid w:val="002126A2"/>
    <w:rsid w:val="00217595"/>
    <w:rsid w:val="00221703"/>
    <w:rsid w:val="00222BA9"/>
    <w:rsid w:val="00227288"/>
    <w:rsid w:val="002308AB"/>
    <w:rsid w:val="00233F62"/>
    <w:rsid w:val="00236103"/>
    <w:rsid w:val="0023752E"/>
    <w:rsid w:val="0024118E"/>
    <w:rsid w:val="0024377C"/>
    <w:rsid w:val="00244DDA"/>
    <w:rsid w:val="00245A2B"/>
    <w:rsid w:val="00247071"/>
    <w:rsid w:val="00253CD0"/>
    <w:rsid w:val="00261D4C"/>
    <w:rsid w:val="00263BA7"/>
    <w:rsid w:val="002647DE"/>
    <w:rsid w:val="00264A11"/>
    <w:rsid w:val="002658F8"/>
    <w:rsid w:val="00265BF0"/>
    <w:rsid w:val="00267A02"/>
    <w:rsid w:val="00274A5D"/>
    <w:rsid w:val="00274BCC"/>
    <w:rsid w:val="002867D5"/>
    <w:rsid w:val="002915DF"/>
    <w:rsid w:val="00291C2C"/>
    <w:rsid w:val="002A3171"/>
    <w:rsid w:val="002A4789"/>
    <w:rsid w:val="002A5907"/>
    <w:rsid w:val="002A7D08"/>
    <w:rsid w:val="002B0054"/>
    <w:rsid w:val="002B2570"/>
    <w:rsid w:val="002C065C"/>
    <w:rsid w:val="002C4029"/>
    <w:rsid w:val="002C51B9"/>
    <w:rsid w:val="002C7FC7"/>
    <w:rsid w:val="002D437F"/>
    <w:rsid w:val="002D5787"/>
    <w:rsid w:val="002D77D5"/>
    <w:rsid w:val="002E31BC"/>
    <w:rsid w:val="002E3563"/>
    <w:rsid w:val="002E48E0"/>
    <w:rsid w:val="002F249D"/>
    <w:rsid w:val="002F385E"/>
    <w:rsid w:val="002F3F04"/>
    <w:rsid w:val="002F4520"/>
    <w:rsid w:val="00302285"/>
    <w:rsid w:val="0030444D"/>
    <w:rsid w:val="0030564F"/>
    <w:rsid w:val="00317359"/>
    <w:rsid w:val="00317DB7"/>
    <w:rsid w:val="00320F65"/>
    <w:rsid w:val="00321F35"/>
    <w:rsid w:val="00340E01"/>
    <w:rsid w:val="003419EE"/>
    <w:rsid w:val="00345768"/>
    <w:rsid w:val="00345C1F"/>
    <w:rsid w:val="00346882"/>
    <w:rsid w:val="00353B74"/>
    <w:rsid w:val="00360D3D"/>
    <w:rsid w:val="00371ED9"/>
    <w:rsid w:val="0038054E"/>
    <w:rsid w:val="00380EF7"/>
    <w:rsid w:val="00381538"/>
    <w:rsid w:val="00384BA2"/>
    <w:rsid w:val="00385B46"/>
    <w:rsid w:val="003919E3"/>
    <w:rsid w:val="00395959"/>
    <w:rsid w:val="00396809"/>
    <w:rsid w:val="003972D0"/>
    <w:rsid w:val="003A202E"/>
    <w:rsid w:val="003A367A"/>
    <w:rsid w:val="003A678C"/>
    <w:rsid w:val="003A67E3"/>
    <w:rsid w:val="003B1D49"/>
    <w:rsid w:val="003B68DF"/>
    <w:rsid w:val="003C307B"/>
    <w:rsid w:val="003C32AA"/>
    <w:rsid w:val="003C6EA1"/>
    <w:rsid w:val="003C6F17"/>
    <w:rsid w:val="003C778F"/>
    <w:rsid w:val="003D5BB5"/>
    <w:rsid w:val="003E0943"/>
    <w:rsid w:val="003E1E21"/>
    <w:rsid w:val="003E38DB"/>
    <w:rsid w:val="003E3AE8"/>
    <w:rsid w:val="003E482C"/>
    <w:rsid w:val="003E50A6"/>
    <w:rsid w:val="003F2531"/>
    <w:rsid w:val="003F6794"/>
    <w:rsid w:val="004016A3"/>
    <w:rsid w:val="00402505"/>
    <w:rsid w:val="004066CF"/>
    <w:rsid w:val="004118C1"/>
    <w:rsid w:val="00414B01"/>
    <w:rsid w:val="00414ECF"/>
    <w:rsid w:val="00420F7F"/>
    <w:rsid w:val="00421690"/>
    <w:rsid w:val="00422CFA"/>
    <w:rsid w:val="00423DC3"/>
    <w:rsid w:val="004244E5"/>
    <w:rsid w:val="004303DA"/>
    <w:rsid w:val="00430FEE"/>
    <w:rsid w:val="0043412C"/>
    <w:rsid w:val="00435EB5"/>
    <w:rsid w:val="00436A42"/>
    <w:rsid w:val="00440CE8"/>
    <w:rsid w:val="0044765D"/>
    <w:rsid w:val="00447A80"/>
    <w:rsid w:val="004524D4"/>
    <w:rsid w:val="004605F5"/>
    <w:rsid w:val="00482180"/>
    <w:rsid w:val="004823BE"/>
    <w:rsid w:val="00485E43"/>
    <w:rsid w:val="00491FA2"/>
    <w:rsid w:val="00493037"/>
    <w:rsid w:val="00493508"/>
    <w:rsid w:val="0049508E"/>
    <w:rsid w:val="00495B11"/>
    <w:rsid w:val="004974D4"/>
    <w:rsid w:val="004A17DD"/>
    <w:rsid w:val="004A24D3"/>
    <w:rsid w:val="004A3276"/>
    <w:rsid w:val="004B5685"/>
    <w:rsid w:val="004B5EAA"/>
    <w:rsid w:val="004B6B0A"/>
    <w:rsid w:val="004C4AC9"/>
    <w:rsid w:val="004D5FC5"/>
    <w:rsid w:val="004E0446"/>
    <w:rsid w:val="004E3B1E"/>
    <w:rsid w:val="004F2137"/>
    <w:rsid w:val="0050577E"/>
    <w:rsid w:val="0050688C"/>
    <w:rsid w:val="00506D5A"/>
    <w:rsid w:val="00511ACC"/>
    <w:rsid w:val="00511BAE"/>
    <w:rsid w:val="00516AB2"/>
    <w:rsid w:val="00520F1B"/>
    <w:rsid w:val="0052125C"/>
    <w:rsid w:val="00521F86"/>
    <w:rsid w:val="005229E6"/>
    <w:rsid w:val="00525C77"/>
    <w:rsid w:val="005303CB"/>
    <w:rsid w:val="005337F9"/>
    <w:rsid w:val="00536101"/>
    <w:rsid w:val="00536F72"/>
    <w:rsid w:val="00542172"/>
    <w:rsid w:val="00542D5F"/>
    <w:rsid w:val="00543962"/>
    <w:rsid w:val="0055290F"/>
    <w:rsid w:val="005532DB"/>
    <w:rsid w:val="00560E87"/>
    <w:rsid w:val="0056601A"/>
    <w:rsid w:val="0056686A"/>
    <w:rsid w:val="00571971"/>
    <w:rsid w:val="00574EC7"/>
    <w:rsid w:val="00577472"/>
    <w:rsid w:val="00591374"/>
    <w:rsid w:val="00591D39"/>
    <w:rsid w:val="00594BD0"/>
    <w:rsid w:val="00594D33"/>
    <w:rsid w:val="005971E2"/>
    <w:rsid w:val="005A27ED"/>
    <w:rsid w:val="005A2F81"/>
    <w:rsid w:val="005A30BE"/>
    <w:rsid w:val="005B296C"/>
    <w:rsid w:val="005B2DC3"/>
    <w:rsid w:val="005C653E"/>
    <w:rsid w:val="005C7B3F"/>
    <w:rsid w:val="005D0581"/>
    <w:rsid w:val="005D1FFE"/>
    <w:rsid w:val="005D36CF"/>
    <w:rsid w:val="005D4D06"/>
    <w:rsid w:val="005D7B79"/>
    <w:rsid w:val="005E06A4"/>
    <w:rsid w:val="005E138D"/>
    <w:rsid w:val="005E170C"/>
    <w:rsid w:val="006032AC"/>
    <w:rsid w:val="00606116"/>
    <w:rsid w:val="0060695B"/>
    <w:rsid w:val="0061739F"/>
    <w:rsid w:val="00623F5E"/>
    <w:rsid w:val="0062473C"/>
    <w:rsid w:val="00630675"/>
    <w:rsid w:val="00637CE9"/>
    <w:rsid w:val="00640A77"/>
    <w:rsid w:val="00640A8C"/>
    <w:rsid w:val="00640AB8"/>
    <w:rsid w:val="00640BB9"/>
    <w:rsid w:val="0064194E"/>
    <w:rsid w:val="00642C81"/>
    <w:rsid w:val="00643474"/>
    <w:rsid w:val="00644524"/>
    <w:rsid w:val="00644963"/>
    <w:rsid w:val="00645151"/>
    <w:rsid w:val="00645782"/>
    <w:rsid w:val="006464F6"/>
    <w:rsid w:val="00647090"/>
    <w:rsid w:val="0065056C"/>
    <w:rsid w:val="006546B7"/>
    <w:rsid w:val="0065788D"/>
    <w:rsid w:val="0067369B"/>
    <w:rsid w:val="00685FEC"/>
    <w:rsid w:val="006864B2"/>
    <w:rsid w:val="006973D8"/>
    <w:rsid w:val="006A17D7"/>
    <w:rsid w:val="006A31C4"/>
    <w:rsid w:val="006A3BDA"/>
    <w:rsid w:val="006A636A"/>
    <w:rsid w:val="006B148E"/>
    <w:rsid w:val="006C3291"/>
    <w:rsid w:val="006C3EE0"/>
    <w:rsid w:val="006C5D77"/>
    <w:rsid w:val="006D03B0"/>
    <w:rsid w:val="006D213A"/>
    <w:rsid w:val="006D5960"/>
    <w:rsid w:val="006E25C0"/>
    <w:rsid w:val="006F22B6"/>
    <w:rsid w:val="006F3501"/>
    <w:rsid w:val="006F5F09"/>
    <w:rsid w:val="006F78B2"/>
    <w:rsid w:val="0070298A"/>
    <w:rsid w:val="00703EF4"/>
    <w:rsid w:val="00705114"/>
    <w:rsid w:val="00706693"/>
    <w:rsid w:val="00706EAE"/>
    <w:rsid w:val="0071744C"/>
    <w:rsid w:val="00730D10"/>
    <w:rsid w:val="00736B0B"/>
    <w:rsid w:val="00740C75"/>
    <w:rsid w:val="00741C3C"/>
    <w:rsid w:val="00745260"/>
    <w:rsid w:val="007465D4"/>
    <w:rsid w:val="007557FC"/>
    <w:rsid w:val="00764B59"/>
    <w:rsid w:val="007735EE"/>
    <w:rsid w:val="00781B08"/>
    <w:rsid w:val="00792CCA"/>
    <w:rsid w:val="00793585"/>
    <w:rsid w:val="007A6FCA"/>
    <w:rsid w:val="007B24FE"/>
    <w:rsid w:val="007C1B9F"/>
    <w:rsid w:val="007C34B8"/>
    <w:rsid w:val="007C7BDD"/>
    <w:rsid w:val="007C7C5D"/>
    <w:rsid w:val="007E0DF1"/>
    <w:rsid w:val="007E220C"/>
    <w:rsid w:val="007E64C0"/>
    <w:rsid w:val="007E6F6B"/>
    <w:rsid w:val="007F13C4"/>
    <w:rsid w:val="007F2BB5"/>
    <w:rsid w:val="007F3C23"/>
    <w:rsid w:val="007F49AF"/>
    <w:rsid w:val="007F7E0A"/>
    <w:rsid w:val="0080302B"/>
    <w:rsid w:val="008066DE"/>
    <w:rsid w:val="00817220"/>
    <w:rsid w:val="0082224F"/>
    <w:rsid w:val="0082296C"/>
    <w:rsid w:val="00823848"/>
    <w:rsid w:val="00823FBC"/>
    <w:rsid w:val="008279BD"/>
    <w:rsid w:val="0083428E"/>
    <w:rsid w:val="00834662"/>
    <w:rsid w:val="00837C65"/>
    <w:rsid w:val="008514E4"/>
    <w:rsid w:val="0085176F"/>
    <w:rsid w:val="00852AF0"/>
    <w:rsid w:val="00853B1B"/>
    <w:rsid w:val="00853E0A"/>
    <w:rsid w:val="008559FA"/>
    <w:rsid w:val="0085751E"/>
    <w:rsid w:val="00857DAC"/>
    <w:rsid w:val="00874F20"/>
    <w:rsid w:val="0087680B"/>
    <w:rsid w:val="00881851"/>
    <w:rsid w:val="00882C96"/>
    <w:rsid w:val="00891A2F"/>
    <w:rsid w:val="008922A4"/>
    <w:rsid w:val="008970F6"/>
    <w:rsid w:val="008A15D1"/>
    <w:rsid w:val="008A45AD"/>
    <w:rsid w:val="008A4656"/>
    <w:rsid w:val="008A51BD"/>
    <w:rsid w:val="008A77F4"/>
    <w:rsid w:val="008B1F65"/>
    <w:rsid w:val="008B4A1A"/>
    <w:rsid w:val="008B4A55"/>
    <w:rsid w:val="008B77E5"/>
    <w:rsid w:val="008D1E5B"/>
    <w:rsid w:val="008D6D1A"/>
    <w:rsid w:val="008E44F2"/>
    <w:rsid w:val="00922F1A"/>
    <w:rsid w:val="00927CA5"/>
    <w:rsid w:val="00931CF8"/>
    <w:rsid w:val="00933440"/>
    <w:rsid w:val="009410C8"/>
    <w:rsid w:val="00951CBB"/>
    <w:rsid w:val="00954550"/>
    <w:rsid w:val="00956366"/>
    <w:rsid w:val="00972257"/>
    <w:rsid w:val="00972462"/>
    <w:rsid w:val="009840FA"/>
    <w:rsid w:val="00984105"/>
    <w:rsid w:val="00984672"/>
    <w:rsid w:val="0098538C"/>
    <w:rsid w:val="00987173"/>
    <w:rsid w:val="00993AC2"/>
    <w:rsid w:val="00995856"/>
    <w:rsid w:val="00995FD1"/>
    <w:rsid w:val="009A5468"/>
    <w:rsid w:val="009B02BD"/>
    <w:rsid w:val="009B524C"/>
    <w:rsid w:val="009B6584"/>
    <w:rsid w:val="009C517E"/>
    <w:rsid w:val="009E1AB2"/>
    <w:rsid w:val="009E2958"/>
    <w:rsid w:val="009E39D0"/>
    <w:rsid w:val="009E3C55"/>
    <w:rsid w:val="009E5B5D"/>
    <w:rsid w:val="00A025DF"/>
    <w:rsid w:val="00A12D1A"/>
    <w:rsid w:val="00A13232"/>
    <w:rsid w:val="00A24F81"/>
    <w:rsid w:val="00A30104"/>
    <w:rsid w:val="00A32A82"/>
    <w:rsid w:val="00A40807"/>
    <w:rsid w:val="00A42F02"/>
    <w:rsid w:val="00A51A47"/>
    <w:rsid w:val="00A530FA"/>
    <w:rsid w:val="00A53183"/>
    <w:rsid w:val="00A54C5A"/>
    <w:rsid w:val="00A607F0"/>
    <w:rsid w:val="00A60E7D"/>
    <w:rsid w:val="00A61027"/>
    <w:rsid w:val="00A61FAA"/>
    <w:rsid w:val="00A62B5D"/>
    <w:rsid w:val="00A62D7F"/>
    <w:rsid w:val="00A66196"/>
    <w:rsid w:val="00A67DDC"/>
    <w:rsid w:val="00A77DA8"/>
    <w:rsid w:val="00A80864"/>
    <w:rsid w:val="00A849B2"/>
    <w:rsid w:val="00A92DC6"/>
    <w:rsid w:val="00AA11CB"/>
    <w:rsid w:val="00AB40FE"/>
    <w:rsid w:val="00AC302A"/>
    <w:rsid w:val="00AD2054"/>
    <w:rsid w:val="00AD573F"/>
    <w:rsid w:val="00AD621C"/>
    <w:rsid w:val="00AE0965"/>
    <w:rsid w:val="00AE0D98"/>
    <w:rsid w:val="00AE7258"/>
    <w:rsid w:val="00AE741F"/>
    <w:rsid w:val="00AE7A93"/>
    <w:rsid w:val="00AF13EF"/>
    <w:rsid w:val="00AF2D33"/>
    <w:rsid w:val="00B00AF3"/>
    <w:rsid w:val="00B02E47"/>
    <w:rsid w:val="00B153F4"/>
    <w:rsid w:val="00B17157"/>
    <w:rsid w:val="00B22229"/>
    <w:rsid w:val="00B356FB"/>
    <w:rsid w:val="00B40225"/>
    <w:rsid w:val="00B407BD"/>
    <w:rsid w:val="00B4213F"/>
    <w:rsid w:val="00B467AC"/>
    <w:rsid w:val="00B47F3A"/>
    <w:rsid w:val="00B539C3"/>
    <w:rsid w:val="00B560BF"/>
    <w:rsid w:val="00B617C4"/>
    <w:rsid w:val="00B61934"/>
    <w:rsid w:val="00B63148"/>
    <w:rsid w:val="00B7153E"/>
    <w:rsid w:val="00B82AEF"/>
    <w:rsid w:val="00B86824"/>
    <w:rsid w:val="00B877B2"/>
    <w:rsid w:val="00B90526"/>
    <w:rsid w:val="00B915FC"/>
    <w:rsid w:val="00B9376A"/>
    <w:rsid w:val="00BA1288"/>
    <w:rsid w:val="00BA2133"/>
    <w:rsid w:val="00BA3594"/>
    <w:rsid w:val="00BA38A9"/>
    <w:rsid w:val="00BA5622"/>
    <w:rsid w:val="00BB16C4"/>
    <w:rsid w:val="00BB259B"/>
    <w:rsid w:val="00BB4070"/>
    <w:rsid w:val="00BC0B8A"/>
    <w:rsid w:val="00BC45E7"/>
    <w:rsid w:val="00BD094E"/>
    <w:rsid w:val="00BD0C46"/>
    <w:rsid w:val="00BE26AA"/>
    <w:rsid w:val="00BE4A88"/>
    <w:rsid w:val="00BE4D80"/>
    <w:rsid w:val="00C007B0"/>
    <w:rsid w:val="00C00E62"/>
    <w:rsid w:val="00C026E5"/>
    <w:rsid w:val="00C137F5"/>
    <w:rsid w:val="00C14B16"/>
    <w:rsid w:val="00C14CDA"/>
    <w:rsid w:val="00C174AE"/>
    <w:rsid w:val="00C32263"/>
    <w:rsid w:val="00C328BD"/>
    <w:rsid w:val="00C4243B"/>
    <w:rsid w:val="00C462E8"/>
    <w:rsid w:val="00C471B7"/>
    <w:rsid w:val="00C51A0C"/>
    <w:rsid w:val="00C52EA5"/>
    <w:rsid w:val="00C6000D"/>
    <w:rsid w:val="00C62E60"/>
    <w:rsid w:val="00C654DA"/>
    <w:rsid w:val="00C71394"/>
    <w:rsid w:val="00C72B39"/>
    <w:rsid w:val="00C73122"/>
    <w:rsid w:val="00C7776F"/>
    <w:rsid w:val="00C81120"/>
    <w:rsid w:val="00C81242"/>
    <w:rsid w:val="00C81A2B"/>
    <w:rsid w:val="00C8239D"/>
    <w:rsid w:val="00C8463A"/>
    <w:rsid w:val="00C92E32"/>
    <w:rsid w:val="00C939AF"/>
    <w:rsid w:val="00C94005"/>
    <w:rsid w:val="00C94EB2"/>
    <w:rsid w:val="00C95506"/>
    <w:rsid w:val="00C96541"/>
    <w:rsid w:val="00C9798E"/>
    <w:rsid w:val="00CA33DD"/>
    <w:rsid w:val="00CB10C2"/>
    <w:rsid w:val="00CB62BE"/>
    <w:rsid w:val="00CB6F9E"/>
    <w:rsid w:val="00CC4809"/>
    <w:rsid w:val="00CC695C"/>
    <w:rsid w:val="00CD35FA"/>
    <w:rsid w:val="00CD547D"/>
    <w:rsid w:val="00CD5587"/>
    <w:rsid w:val="00CD5BF1"/>
    <w:rsid w:val="00CD6FCF"/>
    <w:rsid w:val="00CD7FF8"/>
    <w:rsid w:val="00CE24E0"/>
    <w:rsid w:val="00CE38E7"/>
    <w:rsid w:val="00CF67B6"/>
    <w:rsid w:val="00D0002E"/>
    <w:rsid w:val="00D00B0B"/>
    <w:rsid w:val="00D03B1A"/>
    <w:rsid w:val="00D065DC"/>
    <w:rsid w:val="00D073A6"/>
    <w:rsid w:val="00D07729"/>
    <w:rsid w:val="00D14622"/>
    <w:rsid w:val="00D15C55"/>
    <w:rsid w:val="00D2016C"/>
    <w:rsid w:val="00D218C8"/>
    <w:rsid w:val="00D27154"/>
    <w:rsid w:val="00D30CD9"/>
    <w:rsid w:val="00D33EB8"/>
    <w:rsid w:val="00D34281"/>
    <w:rsid w:val="00D40694"/>
    <w:rsid w:val="00D445B5"/>
    <w:rsid w:val="00D44BD8"/>
    <w:rsid w:val="00D474EA"/>
    <w:rsid w:val="00D538B8"/>
    <w:rsid w:val="00D62EF7"/>
    <w:rsid w:val="00D65CFE"/>
    <w:rsid w:val="00D660CF"/>
    <w:rsid w:val="00D72404"/>
    <w:rsid w:val="00D72941"/>
    <w:rsid w:val="00D73E6B"/>
    <w:rsid w:val="00D7564B"/>
    <w:rsid w:val="00D76FD8"/>
    <w:rsid w:val="00D81F18"/>
    <w:rsid w:val="00D833DE"/>
    <w:rsid w:val="00D94074"/>
    <w:rsid w:val="00DA101E"/>
    <w:rsid w:val="00DA257B"/>
    <w:rsid w:val="00DA4B08"/>
    <w:rsid w:val="00DA64C3"/>
    <w:rsid w:val="00DA7AB4"/>
    <w:rsid w:val="00DB2BB4"/>
    <w:rsid w:val="00DB3D25"/>
    <w:rsid w:val="00DC557F"/>
    <w:rsid w:val="00DD2BA7"/>
    <w:rsid w:val="00DD32FF"/>
    <w:rsid w:val="00DD62A5"/>
    <w:rsid w:val="00DD6A27"/>
    <w:rsid w:val="00DE05AC"/>
    <w:rsid w:val="00DE091D"/>
    <w:rsid w:val="00DE1446"/>
    <w:rsid w:val="00DE481F"/>
    <w:rsid w:val="00DF3F9D"/>
    <w:rsid w:val="00DF449E"/>
    <w:rsid w:val="00DF468B"/>
    <w:rsid w:val="00E01BD5"/>
    <w:rsid w:val="00E03A8A"/>
    <w:rsid w:val="00E0554F"/>
    <w:rsid w:val="00E1275A"/>
    <w:rsid w:val="00E2536F"/>
    <w:rsid w:val="00E3225A"/>
    <w:rsid w:val="00E50837"/>
    <w:rsid w:val="00E5092A"/>
    <w:rsid w:val="00E56684"/>
    <w:rsid w:val="00E56F11"/>
    <w:rsid w:val="00E7306C"/>
    <w:rsid w:val="00E81848"/>
    <w:rsid w:val="00E81E0B"/>
    <w:rsid w:val="00E82207"/>
    <w:rsid w:val="00E83077"/>
    <w:rsid w:val="00E84C58"/>
    <w:rsid w:val="00E8636E"/>
    <w:rsid w:val="00E9211D"/>
    <w:rsid w:val="00E9290D"/>
    <w:rsid w:val="00EA657A"/>
    <w:rsid w:val="00EA7F4E"/>
    <w:rsid w:val="00EB04B5"/>
    <w:rsid w:val="00EB6267"/>
    <w:rsid w:val="00EB7440"/>
    <w:rsid w:val="00EB74A4"/>
    <w:rsid w:val="00EC2B5B"/>
    <w:rsid w:val="00ED3856"/>
    <w:rsid w:val="00ED465E"/>
    <w:rsid w:val="00ED6846"/>
    <w:rsid w:val="00EE030C"/>
    <w:rsid w:val="00EE4212"/>
    <w:rsid w:val="00EF453C"/>
    <w:rsid w:val="00F01EF8"/>
    <w:rsid w:val="00F022B6"/>
    <w:rsid w:val="00F02414"/>
    <w:rsid w:val="00F05CEE"/>
    <w:rsid w:val="00F05F75"/>
    <w:rsid w:val="00F07EDA"/>
    <w:rsid w:val="00F135D4"/>
    <w:rsid w:val="00F136A9"/>
    <w:rsid w:val="00F16C89"/>
    <w:rsid w:val="00F1709B"/>
    <w:rsid w:val="00F221F8"/>
    <w:rsid w:val="00F27FBD"/>
    <w:rsid w:val="00F33B21"/>
    <w:rsid w:val="00F340F5"/>
    <w:rsid w:val="00F35418"/>
    <w:rsid w:val="00F35E86"/>
    <w:rsid w:val="00F3668A"/>
    <w:rsid w:val="00F44207"/>
    <w:rsid w:val="00F44BB5"/>
    <w:rsid w:val="00F532C4"/>
    <w:rsid w:val="00F5414F"/>
    <w:rsid w:val="00F6712B"/>
    <w:rsid w:val="00F67742"/>
    <w:rsid w:val="00F71374"/>
    <w:rsid w:val="00F73BBB"/>
    <w:rsid w:val="00F73FCF"/>
    <w:rsid w:val="00F7440F"/>
    <w:rsid w:val="00F762B9"/>
    <w:rsid w:val="00F85335"/>
    <w:rsid w:val="00F9178C"/>
    <w:rsid w:val="00F94465"/>
    <w:rsid w:val="00F96172"/>
    <w:rsid w:val="00F96B91"/>
    <w:rsid w:val="00F96FE8"/>
    <w:rsid w:val="00F9744F"/>
    <w:rsid w:val="00FA0798"/>
    <w:rsid w:val="00FA184D"/>
    <w:rsid w:val="00FA7DA0"/>
    <w:rsid w:val="00FB1C9F"/>
    <w:rsid w:val="00FC54A5"/>
    <w:rsid w:val="00FD367E"/>
    <w:rsid w:val="00FD4D6A"/>
    <w:rsid w:val="00FD54E4"/>
    <w:rsid w:val="00FE17C1"/>
    <w:rsid w:val="00FE3272"/>
    <w:rsid w:val="00FF1561"/>
    <w:rsid w:val="00FF6E3A"/>
    <w:rsid w:val="01433ECC"/>
    <w:rsid w:val="01523337"/>
    <w:rsid w:val="0164119F"/>
    <w:rsid w:val="01866614"/>
    <w:rsid w:val="019674B7"/>
    <w:rsid w:val="01F93628"/>
    <w:rsid w:val="021B202C"/>
    <w:rsid w:val="026874B3"/>
    <w:rsid w:val="02C646E1"/>
    <w:rsid w:val="02FE20CD"/>
    <w:rsid w:val="03010693"/>
    <w:rsid w:val="03A42D9E"/>
    <w:rsid w:val="03B2599D"/>
    <w:rsid w:val="03F35194"/>
    <w:rsid w:val="041A0F22"/>
    <w:rsid w:val="042C6306"/>
    <w:rsid w:val="043F299D"/>
    <w:rsid w:val="04475EA8"/>
    <w:rsid w:val="044C56F1"/>
    <w:rsid w:val="04592FCB"/>
    <w:rsid w:val="04806C4F"/>
    <w:rsid w:val="048363E9"/>
    <w:rsid w:val="04A92BDA"/>
    <w:rsid w:val="04B20C5E"/>
    <w:rsid w:val="04DD3F64"/>
    <w:rsid w:val="04F35535"/>
    <w:rsid w:val="050977B2"/>
    <w:rsid w:val="053F6CEC"/>
    <w:rsid w:val="054949D2"/>
    <w:rsid w:val="054B5ABB"/>
    <w:rsid w:val="058B28BB"/>
    <w:rsid w:val="05994946"/>
    <w:rsid w:val="059C70A8"/>
    <w:rsid w:val="05A924C6"/>
    <w:rsid w:val="05AA049E"/>
    <w:rsid w:val="05B64035"/>
    <w:rsid w:val="05DC5F0A"/>
    <w:rsid w:val="05F15F19"/>
    <w:rsid w:val="05F33DF2"/>
    <w:rsid w:val="06127C92"/>
    <w:rsid w:val="06341B5E"/>
    <w:rsid w:val="066B1FF9"/>
    <w:rsid w:val="067D162A"/>
    <w:rsid w:val="069A3221"/>
    <w:rsid w:val="06C23CD9"/>
    <w:rsid w:val="072950A2"/>
    <w:rsid w:val="07396547"/>
    <w:rsid w:val="073E205D"/>
    <w:rsid w:val="074612F7"/>
    <w:rsid w:val="07647CE3"/>
    <w:rsid w:val="077722CC"/>
    <w:rsid w:val="07973E92"/>
    <w:rsid w:val="079F6195"/>
    <w:rsid w:val="07B61D0C"/>
    <w:rsid w:val="07E37AE3"/>
    <w:rsid w:val="07EB3A1B"/>
    <w:rsid w:val="08064C67"/>
    <w:rsid w:val="08894A4B"/>
    <w:rsid w:val="08A44BA2"/>
    <w:rsid w:val="08B42FD0"/>
    <w:rsid w:val="08EC6C1E"/>
    <w:rsid w:val="08EF66E4"/>
    <w:rsid w:val="08F00C5F"/>
    <w:rsid w:val="08FD11A8"/>
    <w:rsid w:val="09084117"/>
    <w:rsid w:val="090A175C"/>
    <w:rsid w:val="091361A6"/>
    <w:rsid w:val="092F6FCD"/>
    <w:rsid w:val="09555E2F"/>
    <w:rsid w:val="09721832"/>
    <w:rsid w:val="09771E96"/>
    <w:rsid w:val="09790C57"/>
    <w:rsid w:val="097F66EB"/>
    <w:rsid w:val="099D4687"/>
    <w:rsid w:val="09BA5BB8"/>
    <w:rsid w:val="09D43B87"/>
    <w:rsid w:val="09ED206A"/>
    <w:rsid w:val="09EE61F1"/>
    <w:rsid w:val="0A1B223B"/>
    <w:rsid w:val="0A3818DA"/>
    <w:rsid w:val="0A3D338E"/>
    <w:rsid w:val="0A556D8E"/>
    <w:rsid w:val="0A5C2CB4"/>
    <w:rsid w:val="0A6B449D"/>
    <w:rsid w:val="0A76419E"/>
    <w:rsid w:val="0A870BFA"/>
    <w:rsid w:val="0A8D0C30"/>
    <w:rsid w:val="0ABD1C25"/>
    <w:rsid w:val="0ABE0E0C"/>
    <w:rsid w:val="0AC2504B"/>
    <w:rsid w:val="0ADB4AF6"/>
    <w:rsid w:val="0B2C16AB"/>
    <w:rsid w:val="0B2F0A09"/>
    <w:rsid w:val="0B3318B8"/>
    <w:rsid w:val="0B365692"/>
    <w:rsid w:val="0B3F3CB2"/>
    <w:rsid w:val="0B4F488E"/>
    <w:rsid w:val="0B664E45"/>
    <w:rsid w:val="0B7633CD"/>
    <w:rsid w:val="0B7913DA"/>
    <w:rsid w:val="0B9E269F"/>
    <w:rsid w:val="0BBC2B25"/>
    <w:rsid w:val="0BD13923"/>
    <w:rsid w:val="0C124D4F"/>
    <w:rsid w:val="0C470638"/>
    <w:rsid w:val="0C5874A6"/>
    <w:rsid w:val="0C5C0BE5"/>
    <w:rsid w:val="0C781007"/>
    <w:rsid w:val="0C7929B9"/>
    <w:rsid w:val="0C861BA8"/>
    <w:rsid w:val="0C917B0E"/>
    <w:rsid w:val="0C98608F"/>
    <w:rsid w:val="0CB83453"/>
    <w:rsid w:val="0CC8265C"/>
    <w:rsid w:val="0D110E33"/>
    <w:rsid w:val="0D1A12D3"/>
    <w:rsid w:val="0D1C617F"/>
    <w:rsid w:val="0D5A3E0F"/>
    <w:rsid w:val="0D5B1376"/>
    <w:rsid w:val="0D6D5B36"/>
    <w:rsid w:val="0D861304"/>
    <w:rsid w:val="0D8B5E6E"/>
    <w:rsid w:val="0DA701FE"/>
    <w:rsid w:val="0DBC0CF3"/>
    <w:rsid w:val="0DCD6DA8"/>
    <w:rsid w:val="0E3E0A6A"/>
    <w:rsid w:val="0E63372C"/>
    <w:rsid w:val="0E8071AE"/>
    <w:rsid w:val="0E820FEE"/>
    <w:rsid w:val="0E9051DA"/>
    <w:rsid w:val="0EC46E52"/>
    <w:rsid w:val="0ECA70A2"/>
    <w:rsid w:val="0ED4233E"/>
    <w:rsid w:val="0EE5282B"/>
    <w:rsid w:val="0EE716CD"/>
    <w:rsid w:val="0EE71E6E"/>
    <w:rsid w:val="0EEB3BE8"/>
    <w:rsid w:val="0EFF2410"/>
    <w:rsid w:val="0F0471D0"/>
    <w:rsid w:val="0F0C4A9D"/>
    <w:rsid w:val="0F0D673E"/>
    <w:rsid w:val="0F125A06"/>
    <w:rsid w:val="0F352364"/>
    <w:rsid w:val="0F5D017B"/>
    <w:rsid w:val="0F784B96"/>
    <w:rsid w:val="0F8676D2"/>
    <w:rsid w:val="0F886514"/>
    <w:rsid w:val="0F915FB1"/>
    <w:rsid w:val="0FAF6321"/>
    <w:rsid w:val="0FB0647D"/>
    <w:rsid w:val="0FB31E5E"/>
    <w:rsid w:val="0FC130AF"/>
    <w:rsid w:val="0FC159EE"/>
    <w:rsid w:val="0FC3462A"/>
    <w:rsid w:val="0FF17FD6"/>
    <w:rsid w:val="0FFD0150"/>
    <w:rsid w:val="10050132"/>
    <w:rsid w:val="10081183"/>
    <w:rsid w:val="10106BD9"/>
    <w:rsid w:val="101A510D"/>
    <w:rsid w:val="102C235B"/>
    <w:rsid w:val="102F1E43"/>
    <w:rsid w:val="1041184B"/>
    <w:rsid w:val="10591B8F"/>
    <w:rsid w:val="10646C16"/>
    <w:rsid w:val="107E71FC"/>
    <w:rsid w:val="109720CE"/>
    <w:rsid w:val="10977CE3"/>
    <w:rsid w:val="10B01C72"/>
    <w:rsid w:val="10B239BE"/>
    <w:rsid w:val="10B9142C"/>
    <w:rsid w:val="10BD39CF"/>
    <w:rsid w:val="10D426BF"/>
    <w:rsid w:val="10D506D0"/>
    <w:rsid w:val="10D77228"/>
    <w:rsid w:val="10E3528B"/>
    <w:rsid w:val="10E670E5"/>
    <w:rsid w:val="111020D9"/>
    <w:rsid w:val="11136C90"/>
    <w:rsid w:val="113228CA"/>
    <w:rsid w:val="113257E6"/>
    <w:rsid w:val="11350259"/>
    <w:rsid w:val="113971FE"/>
    <w:rsid w:val="114D7589"/>
    <w:rsid w:val="11744E4C"/>
    <w:rsid w:val="11B70512"/>
    <w:rsid w:val="11BA1147"/>
    <w:rsid w:val="11C00BB3"/>
    <w:rsid w:val="11C444E1"/>
    <w:rsid w:val="11D75F8A"/>
    <w:rsid w:val="11EE155E"/>
    <w:rsid w:val="12003626"/>
    <w:rsid w:val="12010B2B"/>
    <w:rsid w:val="121316CD"/>
    <w:rsid w:val="122E39B2"/>
    <w:rsid w:val="123F625E"/>
    <w:rsid w:val="129468C1"/>
    <w:rsid w:val="131E7C21"/>
    <w:rsid w:val="1366770F"/>
    <w:rsid w:val="13806B0E"/>
    <w:rsid w:val="13912E17"/>
    <w:rsid w:val="13BE3078"/>
    <w:rsid w:val="13E22DAF"/>
    <w:rsid w:val="13F95D40"/>
    <w:rsid w:val="140E3559"/>
    <w:rsid w:val="141B4BC5"/>
    <w:rsid w:val="14281B7A"/>
    <w:rsid w:val="143D61F5"/>
    <w:rsid w:val="144D4192"/>
    <w:rsid w:val="14602603"/>
    <w:rsid w:val="14F5475E"/>
    <w:rsid w:val="14FB1631"/>
    <w:rsid w:val="151C5956"/>
    <w:rsid w:val="152C7D17"/>
    <w:rsid w:val="153B3244"/>
    <w:rsid w:val="153F2E0B"/>
    <w:rsid w:val="1549647B"/>
    <w:rsid w:val="15581B10"/>
    <w:rsid w:val="155D0ED5"/>
    <w:rsid w:val="156B2032"/>
    <w:rsid w:val="156C0552"/>
    <w:rsid w:val="15781839"/>
    <w:rsid w:val="15785AE6"/>
    <w:rsid w:val="15C37DBC"/>
    <w:rsid w:val="15E456D6"/>
    <w:rsid w:val="16016C39"/>
    <w:rsid w:val="162304BC"/>
    <w:rsid w:val="16566EEE"/>
    <w:rsid w:val="16713945"/>
    <w:rsid w:val="167A736F"/>
    <w:rsid w:val="16851698"/>
    <w:rsid w:val="16885058"/>
    <w:rsid w:val="16D05C6C"/>
    <w:rsid w:val="16E2355E"/>
    <w:rsid w:val="16FA2753"/>
    <w:rsid w:val="17017061"/>
    <w:rsid w:val="172F45D6"/>
    <w:rsid w:val="174B3892"/>
    <w:rsid w:val="175036A8"/>
    <w:rsid w:val="178A2C08"/>
    <w:rsid w:val="17B15508"/>
    <w:rsid w:val="17BB4FAF"/>
    <w:rsid w:val="17BE06B7"/>
    <w:rsid w:val="17DD2109"/>
    <w:rsid w:val="17F57BF5"/>
    <w:rsid w:val="17F9240D"/>
    <w:rsid w:val="181451A4"/>
    <w:rsid w:val="18150145"/>
    <w:rsid w:val="18452030"/>
    <w:rsid w:val="18596E28"/>
    <w:rsid w:val="18830B19"/>
    <w:rsid w:val="188449CB"/>
    <w:rsid w:val="18A9288E"/>
    <w:rsid w:val="18CA1C53"/>
    <w:rsid w:val="18EB38E1"/>
    <w:rsid w:val="18EF45BC"/>
    <w:rsid w:val="1901426D"/>
    <w:rsid w:val="19023C03"/>
    <w:rsid w:val="190726E1"/>
    <w:rsid w:val="19103FB0"/>
    <w:rsid w:val="19197904"/>
    <w:rsid w:val="193F7DF6"/>
    <w:rsid w:val="19697B60"/>
    <w:rsid w:val="19751DBA"/>
    <w:rsid w:val="197A1C24"/>
    <w:rsid w:val="19AE7588"/>
    <w:rsid w:val="19B4591C"/>
    <w:rsid w:val="19C86259"/>
    <w:rsid w:val="19D2341F"/>
    <w:rsid w:val="19DF3DE9"/>
    <w:rsid w:val="19E51499"/>
    <w:rsid w:val="19F8741E"/>
    <w:rsid w:val="19FF5093"/>
    <w:rsid w:val="1A045DC3"/>
    <w:rsid w:val="1A11549E"/>
    <w:rsid w:val="1A1A77D0"/>
    <w:rsid w:val="1A2226ED"/>
    <w:rsid w:val="1A247921"/>
    <w:rsid w:val="1A2E1FAE"/>
    <w:rsid w:val="1A3C7D8E"/>
    <w:rsid w:val="1A575F0D"/>
    <w:rsid w:val="1A5C5EC7"/>
    <w:rsid w:val="1A620D3B"/>
    <w:rsid w:val="1A633CB8"/>
    <w:rsid w:val="1AA779DA"/>
    <w:rsid w:val="1AAF6EA9"/>
    <w:rsid w:val="1AC9700C"/>
    <w:rsid w:val="1AD85FD1"/>
    <w:rsid w:val="1ADB110B"/>
    <w:rsid w:val="1B3335A9"/>
    <w:rsid w:val="1B4132B0"/>
    <w:rsid w:val="1B4E4481"/>
    <w:rsid w:val="1B711762"/>
    <w:rsid w:val="1BA74DEE"/>
    <w:rsid w:val="1BFE685E"/>
    <w:rsid w:val="1C292111"/>
    <w:rsid w:val="1CB16448"/>
    <w:rsid w:val="1CB80CC2"/>
    <w:rsid w:val="1CBB7DA4"/>
    <w:rsid w:val="1CC64E9C"/>
    <w:rsid w:val="1CCC27F4"/>
    <w:rsid w:val="1CD42EEB"/>
    <w:rsid w:val="1CE330B3"/>
    <w:rsid w:val="1CF903A2"/>
    <w:rsid w:val="1D196757"/>
    <w:rsid w:val="1D1D0FA8"/>
    <w:rsid w:val="1D314359"/>
    <w:rsid w:val="1D7C2A4E"/>
    <w:rsid w:val="1D7E21C0"/>
    <w:rsid w:val="1D9C27B6"/>
    <w:rsid w:val="1D9F5BF5"/>
    <w:rsid w:val="1DA2499B"/>
    <w:rsid w:val="1DA455BF"/>
    <w:rsid w:val="1DB32116"/>
    <w:rsid w:val="1DBE298C"/>
    <w:rsid w:val="1DC4750B"/>
    <w:rsid w:val="1DDB26C6"/>
    <w:rsid w:val="1DDE76BF"/>
    <w:rsid w:val="1DEF5970"/>
    <w:rsid w:val="1E053DEB"/>
    <w:rsid w:val="1E6F5D7F"/>
    <w:rsid w:val="1E971C7C"/>
    <w:rsid w:val="1EDB5BC0"/>
    <w:rsid w:val="1EF52AD7"/>
    <w:rsid w:val="1EFC7049"/>
    <w:rsid w:val="1F2D7B6A"/>
    <w:rsid w:val="1F33215A"/>
    <w:rsid w:val="1F6376EC"/>
    <w:rsid w:val="1F9C7BD4"/>
    <w:rsid w:val="1FA763EB"/>
    <w:rsid w:val="1FBB4722"/>
    <w:rsid w:val="1FF24910"/>
    <w:rsid w:val="200C1D97"/>
    <w:rsid w:val="200D34F7"/>
    <w:rsid w:val="20131114"/>
    <w:rsid w:val="2025500E"/>
    <w:rsid w:val="202A46FE"/>
    <w:rsid w:val="202B6203"/>
    <w:rsid w:val="203F26C1"/>
    <w:rsid w:val="205513A2"/>
    <w:rsid w:val="206F79A9"/>
    <w:rsid w:val="20BC3CBC"/>
    <w:rsid w:val="20BE30A3"/>
    <w:rsid w:val="20C42A94"/>
    <w:rsid w:val="20D6181B"/>
    <w:rsid w:val="20D81004"/>
    <w:rsid w:val="20DF66BD"/>
    <w:rsid w:val="20F228F2"/>
    <w:rsid w:val="210A513A"/>
    <w:rsid w:val="212072F4"/>
    <w:rsid w:val="21243C11"/>
    <w:rsid w:val="21247B2A"/>
    <w:rsid w:val="21336028"/>
    <w:rsid w:val="213C72A6"/>
    <w:rsid w:val="21424AB8"/>
    <w:rsid w:val="2159252D"/>
    <w:rsid w:val="219A4F9F"/>
    <w:rsid w:val="219F51A1"/>
    <w:rsid w:val="21B35F74"/>
    <w:rsid w:val="21BE3575"/>
    <w:rsid w:val="21CC3BB1"/>
    <w:rsid w:val="21E503AE"/>
    <w:rsid w:val="21EA7A2A"/>
    <w:rsid w:val="22185F2F"/>
    <w:rsid w:val="22326D60"/>
    <w:rsid w:val="223460AA"/>
    <w:rsid w:val="22655921"/>
    <w:rsid w:val="22733EEF"/>
    <w:rsid w:val="227B5760"/>
    <w:rsid w:val="227E03ED"/>
    <w:rsid w:val="228046E6"/>
    <w:rsid w:val="22834E72"/>
    <w:rsid w:val="22A87507"/>
    <w:rsid w:val="22C434BF"/>
    <w:rsid w:val="22CD5079"/>
    <w:rsid w:val="22D7603D"/>
    <w:rsid w:val="22DE45F5"/>
    <w:rsid w:val="22EB3521"/>
    <w:rsid w:val="22EC3A24"/>
    <w:rsid w:val="22FD55F0"/>
    <w:rsid w:val="23117568"/>
    <w:rsid w:val="231C32E1"/>
    <w:rsid w:val="231E0C58"/>
    <w:rsid w:val="232A658B"/>
    <w:rsid w:val="23361055"/>
    <w:rsid w:val="233908F5"/>
    <w:rsid w:val="23391984"/>
    <w:rsid w:val="23491FB8"/>
    <w:rsid w:val="235B5D48"/>
    <w:rsid w:val="237F503C"/>
    <w:rsid w:val="23817D89"/>
    <w:rsid w:val="238602DE"/>
    <w:rsid w:val="23940548"/>
    <w:rsid w:val="23A303EF"/>
    <w:rsid w:val="23A91F1F"/>
    <w:rsid w:val="23AA7873"/>
    <w:rsid w:val="240F4710"/>
    <w:rsid w:val="242F5608"/>
    <w:rsid w:val="245F0C9E"/>
    <w:rsid w:val="247F11AE"/>
    <w:rsid w:val="248A09FD"/>
    <w:rsid w:val="249B5576"/>
    <w:rsid w:val="24AC7C20"/>
    <w:rsid w:val="24D0283E"/>
    <w:rsid w:val="24E46FB5"/>
    <w:rsid w:val="24ED3288"/>
    <w:rsid w:val="250F6F6A"/>
    <w:rsid w:val="251A2011"/>
    <w:rsid w:val="25243CB6"/>
    <w:rsid w:val="253D4483"/>
    <w:rsid w:val="254969BC"/>
    <w:rsid w:val="255164B7"/>
    <w:rsid w:val="255231DD"/>
    <w:rsid w:val="25BB7663"/>
    <w:rsid w:val="25DB5045"/>
    <w:rsid w:val="25DC23B3"/>
    <w:rsid w:val="25FE6BC1"/>
    <w:rsid w:val="26172D32"/>
    <w:rsid w:val="261C3F09"/>
    <w:rsid w:val="26365BC9"/>
    <w:rsid w:val="263E3703"/>
    <w:rsid w:val="264B2FCC"/>
    <w:rsid w:val="26852A38"/>
    <w:rsid w:val="269B14B9"/>
    <w:rsid w:val="26AE7F87"/>
    <w:rsid w:val="26CF1507"/>
    <w:rsid w:val="26EB07E4"/>
    <w:rsid w:val="27193BC5"/>
    <w:rsid w:val="271D7217"/>
    <w:rsid w:val="273113D0"/>
    <w:rsid w:val="27330264"/>
    <w:rsid w:val="27572F1E"/>
    <w:rsid w:val="275A3CB7"/>
    <w:rsid w:val="276F4994"/>
    <w:rsid w:val="27711EF6"/>
    <w:rsid w:val="278A4010"/>
    <w:rsid w:val="27A4456F"/>
    <w:rsid w:val="27D23A29"/>
    <w:rsid w:val="27D36DD5"/>
    <w:rsid w:val="27E965F8"/>
    <w:rsid w:val="27ED606F"/>
    <w:rsid w:val="27FC5A5B"/>
    <w:rsid w:val="281C07C0"/>
    <w:rsid w:val="283E433E"/>
    <w:rsid w:val="28535F29"/>
    <w:rsid w:val="28696EF0"/>
    <w:rsid w:val="289217DF"/>
    <w:rsid w:val="2895052E"/>
    <w:rsid w:val="2914205A"/>
    <w:rsid w:val="29152296"/>
    <w:rsid w:val="29190FC6"/>
    <w:rsid w:val="2920429C"/>
    <w:rsid w:val="29207B77"/>
    <w:rsid w:val="29216E6C"/>
    <w:rsid w:val="29267966"/>
    <w:rsid w:val="29567A3B"/>
    <w:rsid w:val="299802D6"/>
    <w:rsid w:val="299E0D3E"/>
    <w:rsid w:val="29A66A78"/>
    <w:rsid w:val="29CC704D"/>
    <w:rsid w:val="29DB11BF"/>
    <w:rsid w:val="29E07CC3"/>
    <w:rsid w:val="2A317DE8"/>
    <w:rsid w:val="2A3D0E7D"/>
    <w:rsid w:val="2A4757B8"/>
    <w:rsid w:val="2A537DA0"/>
    <w:rsid w:val="2A6E5D6C"/>
    <w:rsid w:val="2A9211C9"/>
    <w:rsid w:val="2A9F7185"/>
    <w:rsid w:val="2AA2503A"/>
    <w:rsid w:val="2AA7108D"/>
    <w:rsid w:val="2ACD5430"/>
    <w:rsid w:val="2AE54992"/>
    <w:rsid w:val="2AEE2AAD"/>
    <w:rsid w:val="2AF90050"/>
    <w:rsid w:val="2B007D27"/>
    <w:rsid w:val="2B1A14CE"/>
    <w:rsid w:val="2B3215A3"/>
    <w:rsid w:val="2B396E18"/>
    <w:rsid w:val="2B3E7798"/>
    <w:rsid w:val="2B4078F7"/>
    <w:rsid w:val="2B5845E6"/>
    <w:rsid w:val="2B5F7D93"/>
    <w:rsid w:val="2B9B2D63"/>
    <w:rsid w:val="2B9E336E"/>
    <w:rsid w:val="2BA45F73"/>
    <w:rsid w:val="2BA97252"/>
    <w:rsid w:val="2BB557EA"/>
    <w:rsid w:val="2BCF1FA9"/>
    <w:rsid w:val="2BE37D65"/>
    <w:rsid w:val="2BF45499"/>
    <w:rsid w:val="2C407052"/>
    <w:rsid w:val="2C4E3FF4"/>
    <w:rsid w:val="2C624FBC"/>
    <w:rsid w:val="2C7B3DA7"/>
    <w:rsid w:val="2C7C4356"/>
    <w:rsid w:val="2C860086"/>
    <w:rsid w:val="2C8818E6"/>
    <w:rsid w:val="2C8D1F0E"/>
    <w:rsid w:val="2C933DE1"/>
    <w:rsid w:val="2CB12EE0"/>
    <w:rsid w:val="2CBF0A1C"/>
    <w:rsid w:val="2CC713D6"/>
    <w:rsid w:val="2CEF5AD6"/>
    <w:rsid w:val="2D214A86"/>
    <w:rsid w:val="2D2F7AE6"/>
    <w:rsid w:val="2D32413A"/>
    <w:rsid w:val="2D39352D"/>
    <w:rsid w:val="2D3E0EB4"/>
    <w:rsid w:val="2D3F6B18"/>
    <w:rsid w:val="2D457903"/>
    <w:rsid w:val="2D501395"/>
    <w:rsid w:val="2D524903"/>
    <w:rsid w:val="2D5B6175"/>
    <w:rsid w:val="2D7B6944"/>
    <w:rsid w:val="2D8F33D5"/>
    <w:rsid w:val="2D962D7E"/>
    <w:rsid w:val="2D9E404B"/>
    <w:rsid w:val="2DFE1988"/>
    <w:rsid w:val="2E0816B2"/>
    <w:rsid w:val="2E226EA0"/>
    <w:rsid w:val="2E2A34C6"/>
    <w:rsid w:val="2E3A3E0F"/>
    <w:rsid w:val="2E532A17"/>
    <w:rsid w:val="2E6A0A1F"/>
    <w:rsid w:val="2EB01214"/>
    <w:rsid w:val="2EEB70DC"/>
    <w:rsid w:val="2EF24F48"/>
    <w:rsid w:val="2F0B703D"/>
    <w:rsid w:val="2F0C34E0"/>
    <w:rsid w:val="2F1A4BC0"/>
    <w:rsid w:val="2F2B28F9"/>
    <w:rsid w:val="2F2E57C0"/>
    <w:rsid w:val="2F3C4C7F"/>
    <w:rsid w:val="2F407170"/>
    <w:rsid w:val="2F473DD9"/>
    <w:rsid w:val="2F4C184E"/>
    <w:rsid w:val="2F66205F"/>
    <w:rsid w:val="2F815AF6"/>
    <w:rsid w:val="2F8444D4"/>
    <w:rsid w:val="2FC16D09"/>
    <w:rsid w:val="2FCB4132"/>
    <w:rsid w:val="2FE1399E"/>
    <w:rsid w:val="2FF95726"/>
    <w:rsid w:val="30147828"/>
    <w:rsid w:val="30532999"/>
    <w:rsid w:val="309D23E8"/>
    <w:rsid w:val="30AE4233"/>
    <w:rsid w:val="30B312FD"/>
    <w:rsid w:val="30D00608"/>
    <w:rsid w:val="30D843EF"/>
    <w:rsid w:val="30EF5E9C"/>
    <w:rsid w:val="313C3C3D"/>
    <w:rsid w:val="315476F4"/>
    <w:rsid w:val="3159290B"/>
    <w:rsid w:val="31703C21"/>
    <w:rsid w:val="317A1A81"/>
    <w:rsid w:val="31804FD7"/>
    <w:rsid w:val="31853836"/>
    <w:rsid w:val="318E33F4"/>
    <w:rsid w:val="318F3F3E"/>
    <w:rsid w:val="31E019BC"/>
    <w:rsid w:val="323F1C36"/>
    <w:rsid w:val="324777B2"/>
    <w:rsid w:val="324F79A0"/>
    <w:rsid w:val="326C526B"/>
    <w:rsid w:val="327B0795"/>
    <w:rsid w:val="32861DCE"/>
    <w:rsid w:val="3296336A"/>
    <w:rsid w:val="329E1AA3"/>
    <w:rsid w:val="32B803DE"/>
    <w:rsid w:val="32BE5501"/>
    <w:rsid w:val="32D10B07"/>
    <w:rsid w:val="32DC7485"/>
    <w:rsid w:val="32DF00FE"/>
    <w:rsid w:val="32E21D97"/>
    <w:rsid w:val="32E95DD7"/>
    <w:rsid w:val="32F01002"/>
    <w:rsid w:val="334179D0"/>
    <w:rsid w:val="33480F3B"/>
    <w:rsid w:val="334B460B"/>
    <w:rsid w:val="335C739B"/>
    <w:rsid w:val="335D7178"/>
    <w:rsid w:val="33692909"/>
    <w:rsid w:val="3379714C"/>
    <w:rsid w:val="33833DA5"/>
    <w:rsid w:val="33A32448"/>
    <w:rsid w:val="33CD5020"/>
    <w:rsid w:val="33E1665D"/>
    <w:rsid w:val="33EB59F9"/>
    <w:rsid w:val="33EC194A"/>
    <w:rsid w:val="33F02323"/>
    <w:rsid w:val="34076784"/>
    <w:rsid w:val="342860E3"/>
    <w:rsid w:val="344F012B"/>
    <w:rsid w:val="346E457B"/>
    <w:rsid w:val="34814B98"/>
    <w:rsid w:val="348C4EDB"/>
    <w:rsid w:val="34965208"/>
    <w:rsid w:val="349A34DB"/>
    <w:rsid w:val="34BD5094"/>
    <w:rsid w:val="35275399"/>
    <w:rsid w:val="35381B9A"/>
    <w:rsid w:val="35400093"/>
    <w:rsid w:val="356915C7"/>
    <w:rsid w:val="35722333"/>
    <w:rsid w:val="36002BFE"/>
    <w:rsid w:val="362B402B"/>
    <w:rsid w:val="364434DA"/>
    <w:rsid w:val="365A133A"/>
    <w:rsid w:val="365B3E4B"/>
    <w:rsid w:val="36727ED0"/>
    <w:rsid w:val="368B1FD3"/>
    <w:rsid w:val="36C070C1"/>
    <w:rsid w:val="3700043A"/>
    <w:rsid w:val="377370F1"/>
    <w:rsid w:val="378575D7"/>
    <w:rsid w:val="379A5ADF"/>
    <w:rsid w:val="379A61A1"/>
    <w:rsid w:val="379A7E45"/>
    <w:rsid w:val="37AE3E37"/>
    <w:rsid w:val="37C3753E"/>
    <w:rsid w:val="37CE0E6C"/>
    <w:rsid w:val="37DB397F"/>
    <w:rsid w:val="38084A69"/>
    <w:rsid w:val="380D41E7"/>
    <w:rsid w:val="38104AC7"/>
    <w:rsid w:val="3815165B"/>
    <w:rsid w:val="38262F51"/>
    <w:rsid w:val="382867EC"/>
    <w:rsid w:val="386E27BE"/>
    <w:rsid w:val="38740D0E"/>
    <w:rsid w:val="388529F3"/>
    <w:rsid w:val="389F6F59"/>
    <w:rsid w:val="38A87E0A"/>
    <w:rsid w:val="38AB29DC"/>
    <w:rsid w:val="38E17B53"/>
    <w:rsid w:val="38E56968"/>
    <w:rsid w:val="38F3575E"/>
    <w:rsid w:val="39136922"/>
    <w:rsid w:val="39184C51"/>
    <w:rsid w:val="39255E6C"/>
    <w:rsid w:val="3939767E"/>
    <w:rsid w:val="39460A09"/>
    <w:rsid w:val="39471A83"/>
    <w:rsid w:val="39614ACF"/>
    <w:rsid w:val="39632233"/>
    <w:rsid w:val="39664D91"/>
    <w:rsid w:val="398A1411"/>
    <w:rsid w:val="399C2DFE"/>
    <w:rsid w:val="399F2CA9"/>
    <w:rsid w:val="39A16A15"/>
    <w:rsid w:val="39BB54AD"/>
    <w:rsid w:val="39E860D5"/>
    <w:rsid w:val="3A0555C0"/>
    <w:rsid w:val="3A0A28CD"/>
    <w:rsid w:val="3A1679CC"/>
    <w:rsid w:val="3A1C3BDD"/>
    <w:rsid w:val="3A2608CF"/>
    <w:rsid w:val="3A276567"/>
    <w:rsid w:val="3A2D7BC7"/>
    <w:rsid w:val="3A3E4BFF"/>
    <w:rsid w:val="3A4333F5"/>
    <w:rsid w:val="3A5442A8"/>
    <w:rsid w:val="3A75301B"/>
    <w:rsid w:val="3A7676A0"/>
    <w:rsid w:val="3A7903BF"/>
    <w:rsid w:val="3AB05CCC"/>
    <w:rsid w:val="3AD434E2"/>
    <w:rsid w:val="3AF0530D"/>
    <w:rsid w:val="3B0D25CC"/>
    <w:rsid w:val="3B7C7EC0"/>
    <w:rsid w:val="3B986F4A"/>
    <w:rsid w:val="3B9F275D"/>
    <w:rsid w:val="3BFC50FB"/>
    <w:rsid w:val="3C34460A"/>
    <w:rsid w:val="3C646365"/>
    <w:rsid w:val="3C6D7821"/>
    <w:rsid w:val="3C7A386B"/>
    <w:rsid w:val="3C7D7C75"/>
    <w:rsid w:val="3C952FE8"/>
    <w:rsid w:val="3CC86E00"/>
    <w:rsid w:val="3CFB2BFE"/>
    <w:rsid w:val="3D191656"/>
    <w:rsid w:val="3D33525E"/>
    <w:rsid w:val="3D9410F7"/>
    <w:rsid w:val="3DC15BF5"/>
    <w:rsid w:val="3DF2457E"/>
    <w:rsid w:val="3DFF79EF"/>
    <w:rsid w:val="3E3A6FF6"/>
    <w:rsid w:val="3E4E0C46"/>
    <w:rsid w:val="3E655CE5"/>
    <w:rsid w:val="3E6671E3"/>
    <w:rsid w:val="3E7730A9"/>
    <w:rsid w:val="3E965318"/>
    <w:rsid w:val="3EB84021"/>
    <w:rsid w:val="3EC139D3"/>
    <w:rsid w:val="3ECE7A61"/>
    <w:rsid w:val="3ED35A0C"/>
    <w:rsid w:val="3EDD0DD2"/>
    <w:rsid w:val="3EE11ADE"/>
    <w:rsid w:val="3EEF4053"/>
    <w:rsid w:val="3EF508F9"/>
    <w:rsid w:val="3EF53FC7"/>
    <w:rsid w:val="3EFF5827"/>
    <w:rsid w:val="3F200698"/>
    <w:rsid w:val="3F4315EC"/>
    <w:rsid w:val="3F4D7923"/>
    <w:rsid w:val="3F6438B0"/>
    <w:rsid w:val="3F663B8E"/>
    <w:rsid w:val="3F747261"/>
    <w:rsid w:val="3FA57B63"/>
    <w:rsid w:val="3FA95589"/>
    <w:rsid w:val="3FB80979"/>
    <w:rsid w:val="3FDE7D6C"/>
    <w:rsid w:val="3FFD724B"/>
    <w:rsid w:val="4003574A"/>
    <w:rsid w:val="401406C3"/>
    <w:rsid w:val="40B40332"/>
    <w:rsid w:val="40B47856"/>
    <w:rsid w:val="40D130AC"/>
    <w:rsid w:val="40E51BFB"/>
    <w:rsid w:val="40EA4EB9"/>
    <w:rsid w:val="40F20A48"/>
    <w:rsid w:val="40F779A5"/>
    <w:rsid w:val="40FA6902"/>
    <w:rsid w:val="410762AC"/>
    <w:rsid w:val="41151DB4"/>
    <w:rsid w:val="4142553C"/>
    <w:rsid w:val="414A54C6"/>
    <w:rsid w:val="41662C1D"/>
    <w:rsid w:val="41770D40"/>
    <w:rsid w:val="41855765"/>
    <w:rsid w:val="41C517A6"/>
    <w:rsid w:val="41D028CD"/>
    <w:rsid w:val="41DF0885"/>
    <w:rsid w:val="41ED2A5B"/>
    <w:rsid w:val="41F12821"/>
    <w:rsid w:val="41F30347"/>
    <w:rsid w:val="4204658F"/>
    <w:rsid w:val="42227B1D"/>
    <w:rsid w:val="42510019"/>
    <w:rsid w:val="4260502C"/>
    <w:rsid w:val="429767AA"/>
    <w:rsid w:val="42BB50BB"/>
    <w:rsid w:val="42C24B71"/>
    <w:rsid w:val="42EC10D7"/>
    <w:rsid w:val="42F1044A"/>
    <w:rsid w:val="430339DC"/>
    <w:rsid w:val="43213484"/>
    <w:rsid w:val="432C088C"/>
    <w:rsid w:val="433A2831"/>
    <w:rsid w:val="434B7D0F"/>
    <w:rsid w:val="43601A0D"/>
    <w:rsid w:val="43884ABF"/>
    <w:rsid w:val="43A06B6B"/>
    <w:rsid w:val="43AC33A3"/>
    <w:rsid w:val="43F36F02"/>
    <w:rsid w:val="44300A63"/>
    <w:rsid w:val="447C20E9"/>
    <w:rsid w:val="44840A29"/>
    <w:rsid w:val="44903117"/>
    <w:rsid w:val="44964A55"/>
    <w:rsid w:val="44CC23C8"/>
    <w:rsid w:val="44D52AC8"/>
    <w:rsid w:val="44F06DC0"/>
    <w:rsid w:val="45075BD0"/>
    <w:rsid w:val="455F130C"/>
    <w:rsid w:val="456364CA"/>
    <w:rsid w:val="459A3C6B"/>
    <w:rsid w:val="45B762D5"/>
    <w:rsid w:val="45DB16EF"/>
    <w:rsid w:val="460226A9"/>
    <w:rsid w:val="462F4D56"/>
    <w:rsid w:val="46722286"/>
    <w:rsid w:val="46BC4C7C"/>
    <w:rsid w:val="470E0CD3"/>
    <w:rsid w:val="470F6414"/>
    <w:rsid w:val="474663D4"/>
    <w:rsid w:val="47486A40"/>
    <w:rsid w:val="475641CE"/>
    <w:rsid w:val="47AA1529"/>
    <w:rsid w:val="47AB2266"/>
    <w:rsid w:val="47AF5A8C"/>
    <w:rsid w:val="47B13F79"/>
    <w:rsid w:val="47B54D5F"/>
    <w:rsid w:val="47BC6FC7"/>
    <w:rsid w:val="47CD3E9D"/>
    <w:rsid w:val="47F1517F"/>
    <w:rsid w:val="47F61467"/>
    <w:rsid w:val="47F65806"/>
    <w:rsid w:val="48094409"/>
    <w:rsid w:val="48251680"/>
    <w:rsid w:val="483C1A5C"/>
    <w:rsid w:val="483F10E1"/>
    <w:rsid w:val="48535EE5"/>
    <w:rsid w:val="48582183"/>
    <w:rsid w:val="486D4E21"/>
    <w:rsid w:val="4892286E"/>
    <w:rsid w:val="4899002B"/>
    <w:rsid w:val="48CA58F4"/>
    <w:rsid w:val="49066E7C"/>
    <w:rsid w:val="492B777B"/>
    <w:rsid w:val="49414896"/>
    <w:rsid w:val="495404B0"/>
    <w:rsid w:val="49742B31"/>
    <w:rsid w:val="497B26BB"/>
    <w:rsid w:val="49AB5334"/>
    <w:rsid w:val="49D055BC"/>
    <w:rsid w:val="49D519F5"/>
    <w:rsid w:val="49E01742"/>
    <w:rsid w:val="49E964AB"/>
    <w:rsid w:val="49EE02F1"/>
    <w:rsid w:val="4A1B2CBB"/>
    <w:rsid w:val="4A22199C"/>
    <w:rsid w:val="4A5C723A"/>
    <w:rsid w:val="4A7668EC"/>
    <w:rsid w:val="4A86340C"/>
    <w:rsid w:val="4A9505C1"/>
    <w:rsid w:val="4AC972C8"/>
    <w:rsid w:val="4B077E0A"/>
    <w:rsid w:val="4B1E126E"/>
    <w:rsid w:val="4B373E0F"/>
    <w:rsid w:val="4B513338"/>
    <w:rsid w:val="4B515805"/>
    <w:rsid w:val="4B873C24"/>
    <w:rsid w:val="4B8B3770"/>
    <w:rsid w:val="4B991A45"/>
    <w:rsid w:val="4BA91898"/>
    <w:rsid w:val="4BAD21EC"/>
    <w:rsid w:val="4BB33876"/>
    <w:rsid w:val="4BB76675"/>
    <w:rsid w:val="4BBD477E"/>
    <w:rsid w:val="4BD16F85"/>
    <w:rsid w:val="4BD41C9E"/>
    <w:rsid w:val="4BD46E91"/>
    <w:rsid w:val="4BF56AD2"/>
    <w:rsid w:val="4C2D59DC"/>
    <w:rsid w:val="4C5A3BDF"/>
    <w:rsid w:val="4C653BF0"/>
    <w:rsid w:val="4CAC181F"/>
    <w:rsid w:val="4CE82017"/>
    <w:rsid w:val="4CEB3820"/>
    <w:rsid w:val="4D1635E9"/>
    <w:rsid w:val="4D235727"/>
    <w:rsid w:val="4D6976FD"/>
    <w:rsid w:val="4D7E1B24"/>
    <w:rsid w:val="4D823127"/>
    <w:rsid w:val="4D8419F1"/>
    <w:rsid w:val="4DC5158D"/>
    <w:rsid w:val="4DCF7345"/>
    <w:rsid w:val="4DE54393"/>
    <w:rsid w:val="4DFB5952"/>
    <w:rsid w:val="4E023BB8"/>
    <w:rsid w:val="4E086A97"/>
    <w:rsid w:val="4E0E6BB1"/>
    <w:rsid w:val="4E1425DF"/>
    <w:rsid w:val="4E2A2065"/>
    <w:rsid w:val="4E4E112E"/>
    <w:rsid w:val="4EA24A0B"/>
    <w:rsid w:val="4EAA2F9D"/>
    <w:rsid w:val="4F175859"/>
    <w:rsid w:val="4F1B34DF"/>
    <w:rsid w:val="4F3B0AA0"/>
    <w:rsid w:val="4F3B28B6"/>
    <w:rsid w:val="4F5A1355"/>
    <w:rsid w:val="4F673C42"/>
    <w:rsid w:val="4F8D1DDB"/>
    <w:rsid w:val="4FB720C1"/>
    <w:rsid w:val="4FB86B18"/>
    <w:rsid w:val="4FD3083A"/>
    <w:rsid w:val="4FEB4FF3"/>
    <w:rsid w:val="50055E16"/>
    <w:rsid w:val="501B6F55"/>
    <w:rsid w:val="50352DA6"/>
    <w:rsid w:val="50660772"/>
    <w:rsid w:val="50692AA8"/>
    <w:rsid w:val="50693F6B"/>
    <w:rsid w:val="50724489"/>
    <w:rsid w:val="507A6208"/>
    <w:rsid w:val="50A90813"/>
    <w:rsid w:val="50C55AAC"/>
    <w:rsid w:val="50DE21C3"/>
    <w:rsid w:val="50E10B6E"/>
    <w:rsid w:val="50E876F3"/>
    <w:rsid w:val="51244882"/>
    <w:rsid w:val="51303805"/>
    <w:rsid w:val="51422D08"/>
    <w:rsid w:val="51467F3F"/>
    <w:rsid w:val="51B82A14"/>
    <w:rsid w:val="51CE66DB"/>
    <w:rsid w:val="51D75590"/>
    <w:rsid w:val="51EC0C8A"/>
    <w:rsid w:val="51EC4659"/>
    <w:rsid w:val="523B7746"/>
    <w:rsid w:val="52457712"/>
    <w:rsid w:val="524A6CE5"/>
    <w:rsid w:val="526238F8"/>
    <w:rsid w:val="5263546F"/>
    <w:rsid w:val="52705FA3"/>
    <w:rsid w:val="5281560E"/>
    <w:rsid w:val="529D64D7"/>
    <w:rsid w:val="52BD533F"/>
    <w:rsid w:val="52DB2F68"/>
    <w:rsid w:val="530B230D"/>
    <w:rsid w:val="53267ACD"/>
    <w:rsid w:val="535366F4"/>
    <w:rsid w:val="53B06098"/>
    <w:rsid w:val="540A0FFD"/>
    <w:rsid w:val="540B7436"/>
    <w:rsid w:val="54292410"/>
    <w:rsid w:val="544267BB"/>
    <w:rsid w:val="54674509"/>
    <w:rsid w:val="547A3172"/>
    <w:rsid w:val="548555E5"/>
    <w:rsid w:val="549A0850"/>
    <w:rsid w:val="54AB643E"/>
    <w:rsid w:val="54C067AF"/>
    <w:rsid w:val="54C65865"/>
    <w:rsid w:val="54D83366"/>
    <w:rsid w:val="54E0377A"/>
    <w:rsid w:val="55093A00"/>
    <w:rsid w:val="55530A4B"/>
    <w:rsid w:val="558538EB"/>
    <w:rsid w:val="55903755"/>
    <w:rsid w:val="55981846"/>
    <w:rsid w:val="55BC4B67"/>
    <w:rsid w:val="55C070B7"/>
    <w:rsid w:val="55C717C0"/>
    <w:rsid w:val="56090558"/>
    <w:rsid w:val="56100663"/>
    <w:rsid w:val="56151419"/>
    <w:rsid w:val="561522EC"/>
    <w:rsid w:val="561D07B6"/>
    <w:rsid w:val="566B4A80"/>
    <w:rsid w:val="566C67F8"/>
    <w:rsid w:val="56814111"/>
    <w:rsid w:val="56D4614A"/>
    <w:rsid w:val="56D85B30"/>
    <w:rsid w:val="56D87AA8"/>
    <w:rsid w:val="56DA179D"/>
    <w:rsid w:val="56EA0AF9"/>
    <w:rsid w:val="570F59A6"/>
    <w:rsid w:val="572A26C7"/>
    <w:rsid w:val="572F65E9"/>
    <w:rsid w:val="573A3649"/>
    <w:rsid w:val="577962B5"/>
    <w:rsid w:val="5787713C"/>
    <w:rsid w:val="57A36F6D"/>
    <w:rsid w:val="57BD6B36"/>
    <w:rsid w:val="57D13845"/>
    <w:rsid w:val="57E46D2C"/>
    <w:rsid w:val="57EC4E98"/>
    <w:rsid w:val="58016AE1"/>
    <w:rsid w:val="581A38EF"/>
    <w:rsid w:val="58552A83"/>
    <w:rsid w:val="586630C0"/>
    <w:rsid w:val="58890AED"/>
    <w:rsid w:val="588A1CD9"/>
    <w:rsid w:val="589E7311"/>
    <w:rsid w:val="58A942AA"/>
    <w:rsid w:val="58AF3FE1"/>
    <w:rsid w:val="58B32187"/>
    <w:rsid w:val="58B52714"/>
    <w:rsid w:val="58B55F21"/>
    <w:rsid w:val="58BD6FF3"/>
    <w:rsid w:val="58BF4EAC"/>
    <w:rsid w:val="58EA4877"/>
    <w:rsid w:val="58EB7343"/>
    <w:rsid w:val="592425D8"/>
    <w:rsid w:val="5934529F"/>
    <w:rsid w:val="59506F96"/>
    <w:rsid w:val="596B0926"/>
    <w:rsid w:val="598A113A"/>
    <w:rsid w:val="599D7C5B"/>
    <w:rsid w:val="59AF1F6E"/>
    <w:rsid w:val="59C61C25"/>
    <w:rsid w:val="59C76F0D"/>
    <w:rsid w:val="59C82EB3"/>
    <w:rsid w:val="59CC555B"/>
    <w:rsid w:val="59E427F8"/>
    <w:rsid w:val="59E545C2"/>
    <w:rsid w:val="5A026276"/>
    <w:rsid w:val="5A1F1ACE"/>
    <w:rsid w:val="5A381E73"/>
    <w:rsid w:val="5A9A3967"/>
    <w:rsid w:val="5AAA5B52"/>
    <w:rsid w:val="5AB167BE"/>
    <w:rsid w:val="5ABE0581"/>
    <w:rsid w:val="5AC35D7E"/>
    <w:rsid w:val="5AC75083"/>
    <w:rsid w:val="5AD308BE"/>
    <w:rsid w:val="5AD36361"/>
    <w:rsid w:val="5AE049A4"/>
    <w:rsid w:val="5AFE6BC9"/>
    <w:rsid w:val="5B026381"/>
    <w:rsid w:val="5B0F3EE3"/>
    <w:rsid w:val="5B330ADD"/>
    <w:rsid w:val="5B413A7A"/>
    <w:rsid w:val="5B6C459D"/>
    <w:rsid w:val="5B7244DD"/>
    <w:rsid w:val="5B741E80"/>
    <w:rsid w:val="5B9A5634"/>
    <w:rsid w:val="5BA21FD6"/>
    <w:rsid w:val="5BA97223"/>
    <w:rsid w:val="5BB503C9"/>
    <w:rsid w:val="5BCC7641"/>
    <w:rsid w:val="5BD72D20"/>
    <w:rsid w:val="5BDE6302"/>
    <w:rsid w:val="5BE442F7"/>
    <w:rsid w:val="5BF95923"/>
    <w:rsid w:val="5BFE7BBD"/>
    <w:rsid w:val="5C1B3BFC"/>
    <w:rsid w:val="5C210489"/>
    <w:rsid w:val="5C2A177C"/>
    <w:rsid w:val="5C3E5FAE"/>
    <w:rsid w:val="5C5D5C4B"/>
    <w:rsid w:val="5C6513B5"/>
    <w:rsid w:val="5C6B6A9A"/>
    <w:rsid w:val="5C6D6D45"/>
    <w:rsid w:val="5C9504F8"/>
    <w:rsid w:val="5CAC1F6E"/>
    <w:rsid w:val="5CE06462"/>
    <w:rsid w:val="5CEA020B"/>
    <w:rsid w:val="5D1E78A3"/>
    <w:rsid w:val="5D5A0E20"/>
    <w:rsid w:val="5D705E91"/>
    <w:rsid w:val="5D795DB7"/>
    <w:rsid w:val="5D8848E1"/>
    <w:rsid w:val="5DA0301B"/>
    <w:rsid w:val="5DB04EE7"/>
    <w:rsid w:val="5DBE5FB1"/>
    <w:rsid w:val="5DCB0BC5"/>
    <w:rsid w:val="5DD4355F"/>
    <w:rsid w:val="5DD92690"/>
    <w:rsid w:val="5DE97093"/>
    <w:rsid w:val="5E021DB5"/>
    <w:rsid w:val="5E4C4C10"/>
    <w:rsid w:val="5E6253BD"/>
    <w:rsid w:val="5E750455"/>
    <w:rsid w:val="5E96232F"/>
    <w:rsid w:val="5E9B5D68"/>
    <w:rsid w:val="5E9E01B3"/>
    <w:rsid w:val="5EA21ED2"/>
    <w:rsid w:val="5EA73F71"/>
    <w:rsid w:val="5EC869DB"/>
    <w:rsid w:val="5ED23FB3"/>
    <w:rsid w:val="5EF77271"/>
    <w:rsid w:val="5F037AAF"/>
    <w:rsid w:val="5F1B3BC8"/>
    <w:rsid w:val="5F285182"/>
    <w:rsid w:val="5F2D445A"/>
    <w:rsid w:val="5F465C40"/>
    <w:rsid w:val="5F4B136B"/>
    <w:rsid w:val="5F6736DD"/>
    <w:rsid w:val="5F7558A0"/>
    <w:rsid w:val="5F767D2F"/>
    <w:rsid w:val="5FA17D60"/>
    <w:rsid w:val="5FC068D6"/>
    <w:rsid w:val="5FEF05D0"/>
    <w:rsid w:val="601C600B"/>
    <w:rsid w:val="60372198"/>
    <w:rsid w:val="6045400C"/>
    <w:rsid w:val="60671748"/>
    <w:rsid w:val="60A969E3"/>
    <w:rsid w:val="60AA6973"/>
    <w:rsid w:val="60B9109E"/>
    <w:rsid w:val="60C31CB3"/>
    <w:rsid w:val="60D41BA2"/>
    <w:rsid w:val="60E40B12"/>
    <w:rsid w:val="60F13388"/>
    <w:rsid w:val="61116D10"/>
    <w:rsid w:val="611529B1"/>
    <w:rsid w:val="613763C3"/>
    <w:rsid w:val="615755BD"/>
    <w:rsid w:val="61580343"/>
    <w:rsid w:val="61722B2B"/>
    <w:rsid w:val="618C5212"/>
    <w:rsid w:val="61C968A6"/>
    <w:rsid w:val="61E72B15"/>
    <w:rsid w:val="61FA2BD4"/>
    <w:rsid w:val="62036202"/>
    <w:rsid w:val="6243455A"/>
    <w:rsid w:val="624A60BA"/>
    <w:rsid w:val="625D6245"/>
    <w:rsid w:val="62B162F2"/>
    <w:rsid w:val="62BD69F2"/>
    <w:rsid w:val="62D6755B"/>
    <w:rsid w:val="62E11625"/>
    <w:rsid w:val="62F61F14"/>
    <w:rsid w:val="63021AD4"/>
    <w:rsid w:val="63035AB9"/>
    <w:rsid w:val="63190646"/>
    <w:rsid w:val="632919C3"/>
    <w:rsid w:val="632B3F54"/>
    <w:rsid w:val="63795F39"/>
    <w:rsid w:val="63824212"/>
    <w:rsid w:val="638F04F1"/>
    <w:rsid w:val="638F21DC"/>
    <w:rsid w:val="639E494F"/>
    <w:rsid w:val="63A32DCD"/>
    <w:rsid w:val="63A64046"/>
    <w:rsid w:val="63BC7C78"/>
    <w:rsid w:val="63DE3C49"/>
    <w:rsid w:val="63E45BD4"/>
    <w:rsid w:val="63F905F2"/>
    <w:rsid w:val="63FA0B5A"/>
    <w:rsid w:val="64062E6B"/>
    <w:rsid w:val="640E739C"/>
    <w:rsid w:val="641A4ACF"/>
    <w:rsid w:val="644840CB"/>
    <w:rsid w:val="64582A55"/>
    <w:rsid w:val="645D3507"/>
    <w:rsid w:val="64887E5E"/>
    <w:rsid w:val="64A12264"/>
    <w:rsid w:val="64B14D8B"/>
    <w:rsid w:val="64BB3CCF"/>
    <w:rsid w:val="64CF1A18"/>
    <w:rsid w:val="64EB733D"/>
    <w:rsid w:val="64F6539B"/>
    <w:rsid w:val="65110D6C"/>
    <w:rsid w:val="651B4E86"/>
    <w:rsid w:val="65273CE0"/>
    <w:rsid w:val="652C014E"/>
    <w:rsid w:val="65362594"/>
    <w:rsid w:val="65494B26"/>
    <w:rsid w:val="657E3083"/>
    <w:rsid w:val="65921444"/>
    <w:rsid w:val="6593704D"/>
    <w:rsid w:val="65A813C1"/>
    <w:rsid w:val="65B87DD8"/>
    <w:rsid w:val="65E971E8"/>
    <w:rsid w:val="65EB3AF4"/>
    <w:rsid w:val="65F258EB"/>
    <w:rsid w:val="6607400B"/>
    <w:rsid w:val="663B4CD4"/>
    <w:rsid w:val="6646463A"/>
    <w:rsid w:val="6661066B"/>
    <w:rsid w:val="66891B94"/>
    <w:rsid w:val="668B17EE"/>
    <w:rsid w:val="66950A52"/>
    <w:rsid w:val="66BE152B"/>
    <w:rsid w:val="66D12B0D"/>
    <w:rsid w:val="66D87988"/>
    <w:rsid w:val="66DB680C"/>
    <w:rsid w:val="670F3C58"/>
    <w:rsid w:val="674233D2"/>
    <w:rsid w:val="674B09FE"/>
    <w:rsid w:val="674E2714"/>
    <w:rsid w:val="67516319"/>
    <w:rsid w:val="675E460C"/>
    <w:rsid w:val="6783130C"/>
    <w:rsid w:val="67A25996"/>
    <w:rsid w:val="67A75A2D"/>
    <w:rsid w:val="67AD767C"/>
    <w:rsid w:val="67B83CF0"/>
    <w:rsid w:val="68032275"/>
    <w:rsid w:val="682020E4"/>
    <w:rsid w:val="682F5E36"/>
    <w:rsid w:val="683164B7"/>
    <w:rsid w:val="683315D6"/>
    <w:rsid w:val="68373F2A"/>
    <w:rsid w:val="683E1F97"/>
    <w:rsid w:val="684D5450"/>
    <w:rsid w:val="68A651FA"/>
    <w:rsid w:val="68B11B73"/>
    <w:rsid w:val="68B32A6E"/>
    <w:rsid w:val="68C31F72"/>
    <w:rsid w:val="68E4794A"/>
    <w:rsid w:val="68FA705A"/>
    <w:rsid w:val="69093414"/>
    <w:rsid w:val="692F4A09"/>
    <w:rsid w:val="693A593D"/>
    <w:rsid w:val="6943676D"/>
    <w:rsid w:val="695D465A"/>
    <w:rsid w:val="69780FAF"/>
    <w:rsid w:val="697E2A1C"/>
    <w:rsid w:val="6984277A"/>
    <w:rsid w:val="69C85E01"/>
    <w:rsid w:val="69E30877"/>
    <w:rsid w:val="69E83678"/>
    <w:rsid w:val="69F273C4"/>
    <w:rsid w:val="69FA0C4E"/>
    <w:rsid w:val="6A1C66C8"/>
    <w:rsid w:val="6A1E4411"/>
    <w:rsid w:val="6A354DA1"/>
    <w:rsid w:val="6A3F0738"/>
    <w:rsid w:val="6A5C267E"/>
    <w:rsid w:val="6A5F5EBA"/>
    <w:rsid w:val="6A7554EE"/>
    <w:rsid w:val="6A91740C"/>
    <w:rsid w:val="6A9339A0"/>
    <w:rsid w:val="6AAA2EE2"/>
    <w:rsid w:val="6AF408BA"/>
    <w:rsid w:val="6B0A032C"/>
    <w:rsid w:val="6B0C22AE"/>
    <w:rsid w:val="6B20455D"/>
    <w:rsid w:val="6B501642"/>
    <w:rsid w:val="6B5E2CED"/>
    <w:rsid w:val="6B6B7BE0"/>
    <w:rsid w:val="6B8C4828"/>
    <w:rsid w:val="6B947C75"/>
    <w:rsid w:val="6BC760AC"/>
    <w:rsid w:val="6BD35CA0"/>
    <w:rsid w:val="6BD74513"/>
    <w:rsid w:val="6BFB3FD9"/>
    <w:rsid w:val="6C000EA9"/>
    <w:rsid w:val="6C362BE4"/>
    <w:rsid w:val="6C445178"/>
    <w:rsid w:val="6C4D0E25"/>
    <w:rsid w:val="6C4F77F2"/>
    <w:rsid w:val="6C510AC2"/>
    <w:rsid w:val="6C7052FA"/>
    <w:rsid w:val="6C7B0C0A"/>
    <w:rsid w:val="6C7C5400"/>
    <w:rsid w:val="6C9B36CD"/>
    <w:rsid w:val="6CC2498F"/>
    <w:rsid w:val="6CDF30F3"/>
    <w:rsid w:val="6D043AC3"/>
    <w:rsid w:val="6D1A2235"/>
    <w:rsid w:val="6D497911"/>
    <w:rsid w:val="6DAA4ED7"/>
    <w:rsid w:val="6DB35909"/>
    <w:rsid w:val="6DCA0612"/>
    <w:rsid w:val="6DEF065A"/>
    <w:rsid w:val="6DF071DE"/>
    <w:rsid w:val="6DFF33D0"/>
    <w:rsid w:val="6E225300"/>
    <w:rsid w:val="6E2E5E50"/>
    <w:rsid w:val="6E3E2FCB"/>
    <w:rsid w:val="6E402C53"/>
    <w:rsid w:val="6E4D6213"/>
    <w:rsid w:val="6E6B4E15"/>
    <w:rsid w:val="6E764C36"/>
    <w:rsid w:val="6EA90221"/>
    <w:rsid w:val="6EAD34A8"/>
    <w:rsid w:val="6ECB2E26"/>
    <w:rsid w:val="6ED42759"/>
    <w:rsid w:val="6ED71C31"/>
    <w:rsid w:val="6EDB52A7"/>
    <w:rsid w:val="6EE92007"/>
    <w:rsid w:val="6F237181"/>
    <w:rsid w:val="6F3D29AE"/>
    <w:rsid w:val="6F721943"/>
    <w:rsid w:val="6F723559"/>
    <w:rsid w:val="6F8F6E20"/>
    <w:rsid w:val="6FAD1286"/>
    <w:rsid w:val="6FAD7BF7"/>
    <w:rsid w:val="6FBA156C"/>
    <w:rsid w:val="6FE674AC"/>
    <w:rsid w:val="6FED251E"/>
    <w:rsid w:val="700F5F47"/>
    <w:rsid w:val="706972C8"/>
    <w:rsid w:val="706F314A"/>
    <w:rsid w:val="7089609D"/>
    <w:rsid w:val="70974653"/>
    <w:rsid w:val="70A1598F"/>
    <w:rsid w:val="70BF3836"/>
    <w:rsid w:val="70C94DCA"/>
    <w:rsid w:val="70CA394F"/>
    <w:rsid w:val="70D06A5B"/>
    <w:rsid w:val="70E61F5E"/>
    <w:rsid w:val="70EC0A51"/>
    <w:rsid w:val="70FA1CD8"/>
    <w:rsid w:val="71346F37"/>
    <w:rsid w:val="71350767"/>
    <w:rsid w:val="713B2AAC"/>
    <w:rsid w:val="715A06DF"/>
    <w:rsid w:val="71681909"/>
    <w:rsid w:val="71696914"/>
    <w:rsid w:val="71731A4B"/>
    <w:rsid w:val="71755DD4"/>
    <w:rsid w:val="71834994"/>
    <w:rsid w:val="71982216"/>
    <w:rsid w:val="719E532A"/>
    <w:rsid w:val="71AA0173"/>
    <w:rsid w:val="71BE1186"/>
    <w:rsid w:val="71E91A3A"/>
    <w:rsid w:val="71EB46B3"/>
    <w:rsid w:val="720660D7"/>
    <w:rsid w:val="722162DF"/>
    <w:rsid w:val="72313FCD"/>
    <w:rsid w:val="725957A4"/>
    <w:rsid w:val="725C3D71"/>
    <w:rsid w:val="72854D6C"/>
    <w:rsid w:val="729026E7"/>
    <w:rsid w:val="72A5768D"/>
    <w:rsid w:val="72C005AD"/>
    <w:rsid w:val="72C1290D"/>
    <w:rsid w:val="72CB0BFF"/>
    <w:rsid w:val="72F2426C"/>
    <w:rsid w:val="72F9189F"/>
    <w:rsid w:val="730E13C4"/>
    <w:rsid w:val="737E272A"/>
    <w:rsid w:val="73886292"/>
    <w:rsid w:val="73963E53"/>
    <w:rsid w:val="73BE14E8"/>
    <w:rsid w:val="73C13552"/>
    <w:rsid w:val="740C3760"/>
    <w:rsid w:val="74165F1D"/>
    <w:rsid w:val="741C51ED"/>
    <w:rsid w:val="742344C1"/>
    <w:rsid w:val="742859A7"/>
    <w:rsid w:val="74931043"/>
    <w:rsid w:val="74B35591"/>
    <w:rsid w:val="74EE481B"/>
    <w:rsid w:val="750000CE"/>
    <w:rsid w:val="750C7A87"/>
    <w:rsid w:val="750F2168"/>
    <w:rsid w:val="753F42AF"/>
    <w:rsid w:val="75422471"/>
    <w:rsid w:val="756872BF"/>
    <w:rsid w:val="757E2DAC"/>
    <w:rsid w:val="75846697"/>
    <w:rsid w:val="759E179D"/>
    <w:rsid w:val="75B23487"/>
    <w:rsid w:val="75B84195"/>
    <w:rsid w:val="75D457BF"/>
    <w:rsid w:val="75D84B2B"/>
    <w:rsid w:val="75F25C45"/>
    <w:rsid w:val="761B75CE"/>
    <w:rsid w:val="764B1CCC"/>
    <w:rsid w:val="764B3889"/>
    <w:rsid w:val="766006F5"/>
    <w:rsid w:val="766871DA"/>
    <w:rsid w:val="76E723CA"/>
    <w:rsid w:val="76EB2CC5"/>
    <w:rsid w:val="76EC4D8A"/>
    <w:rsid w:val="76F6376D"/>
    <w:rsid w:val="76F96343"/>
    <w:rsid w:val="76FA51AC"/>
    <w:rsid w:val="771A452B"/>
    <w:rsid w:val="774709AC"/>
    <w:rsid w:val="77630D08"/>
    <w:rsid w:val="77AA2EC6"/>
    <w:rsid w:val="77AD62C7"/>
    <w:rsid w:val="77C1415C"/>
    <w:rsid w:val="77C749AF"/>
    <w:rsid w:val="783B7D77"/>
    <w:rsid w:val="78441036"/>
    <w:rsid w:val="78624B10"/>
    <w:rsid w:val="789F34DB"/>
    <w:rsid w:val="78C633ED"/>
    <w:rsid w:val="78FE12CB"/>
    <w:rsid w:val="78FF7BDB"/>
    <w:rsid w:val="79361C68"/>
    <w:rsid w:val="79881917"/>
    <w:rsid w:val="79AA7D7B"/>
    <w:rsid w:val="79CE060F"/>
    <w:rsid w:val="79D5587F"/>
    <w:rsid w:val="7A260AD6"/>
    <w:rsid w:val="7A291A92"/>
    <w:rsid w:val="7A2D5DFC"/>
    <w:rsid w:val="7A5A6781"/>
    <w:rsid w:val="7A5C6085"/>
    <w:rsid w:val="7A730838"/>
    <w:rsid w:val="7A734736"/>
    <w:rsid w:val="7A8D65D6"/>
    <w:rsid w:val="7A9543A7"/>
    <w:rsid w:val="7A971401"/>
    <w:rsid w:val="7AC313B0"/>
    <w:rsid w:val="7AFA4486"/>
    <w:rsid w:val="7B03245E"/>
    <w:rsid w:val="7B126C33"/>
    <w:rsid w:val="7B2A07C9"/>
    <w:rsid w:val="7BE3645A"/>
    <w:rsid w:val="7C0A7CA5"/>
    <w:rsid w:val="7C2356A5"/>
    <w:rsid w:val="7C345BDF"/>
    <w:rsid w:val="7C456274"/>
    <w:rsid w:val="7C5331B5"/>
    <w:rsid w:val="7C533CED"/>
    <w:rsid w:val="7C67688A"/>
    <w:rsid w:val="7C6C22DB"/>
    <w:rsid w:val="7C707D78"/>
    <w:rsid w:val="7CA90B4F"/>
    <w:rsid w:val="7CA94945"/>
    <w:rsid w:val="7CAF0070"/>
    <w:rsid w:val="7CDE1393"/>
    <w:rsid w:val="7CE033CC"/>
    <w:rsid w:val="7D313692"/>
    <w:rsid w:val="7D3D687D"/>
    <w:rsid w:val="7D4D0C61"/>
    <w:rsid w:val="7D5E6A7D"/>
    <w:rsid w:val="7D6759AB"/>
    <w:rsid w:val="7D77679B"/>
    <w:rsid w:val="7D795605"/>
    <w:rsid w:val="7D887E72"/>
    <w:rsid w:val="7D914AFE"/>
    <w:rsid w:val="7DB95280"/>
    <w:rsid w:val="7DD23F1C"/>
    <w:rsid w:val="7DFF35F5"/>
    <w:rsid w:val="7E044434"/>
    <w:rsid w:val="7E0A653F"/>
    <w:rsid w:val="7E0E2B53"/>
    <w:rsid w:val="7E4E619B"/>
    <w:rsid w:val="7E58176D"/>
    <w:rsid w:val="7E5B33F6"/>
    <w:rsid w:val="7E5D5895"/>
    <w:rsid w:val="7E862BE7"/>
    <w:rsid w:val="7EC67010"/>
    <w:rsid w:val="7ED026F7"/>
    <w:rsid w:val="7ED70C48"/>
    <w:rsid w:val="7ED90C6F"/>
    <w:rsid w:val="7EE74CFB"/>
    <w:rsid w:val="7F1424A5"/>
    <w:rsid w:val="7F370B6C"/>
    <w:rsid w:val="7F4B53E5"/>
    <w:rsid w:val="7F4E3BF1"/>
    <w:rsid w:val="7F5874FA"/>
    <w:rsid w:val="7F973411"/>
    <w:rsid w:val="7FA86987"/>
    <w:rsid w:val="7FC16D73"/>
    <w:rsid w:val="7FF5783B"/>
    <w:rsid w:val="7FFC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5"/>
    <w:basedOn w:val="1"/>
    <w:next w:val="1"/>
    <w:link w:val="49"/>
    <w:qFormat/>
    <w:uiPriority w:val="0"/>
    <w:pPr>
      <w:keepNext/>
      <w:keepLines/>
      <w:spacing w:before="280" w:after="290" w:line="376" w:lineRule="auto"/>
      <w:outlineLvl w:val="4"/>
    </w:pPr>
    <w:rPr>
      <w:b/>
      <w:bCs/>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2"/>
    <w:qFormat/>
    <w:uiPriority w:val="0"/>
    <w:pPr>
      <w:ind w:firstLine="420" w:firstLineChars="100"/>
    </w:pPr>
  </w:style>
  <w:style w:type="paragraph" w:styleId="3">
    <w:name w:val="Body Text"/>
    <w:basedOn w:val="1"/>
    <w:link w:val="59"/>
    <w:qFormat/>
    <w:uiPriority w:val="0"/>
    <w:pPr>
      <w:spacing w:after="120"/>
    </w:pPr>
    <w:rPr>
      <w:kern w:val="0"/>
      <w:sz w:val="20"/>
    </w:rPr>
  </w:style>
  <w:style w:type="paragraph" w:styleId="8">
    <w:name w:val="List Number"/>
    <w:basedOn w:val="1"/>
    <w:qFormat/>
    <w:uiPriority w:val="0"/>
    <w:pPr>
      <w:numPr>
        <w:ilvl w:val="0"/>
        <w:numId w:val="1"/>
      </w:numPr>
      <w:ind w:firstLine="0"/>
    </w:pPr>
  </w:style>
  <w:style w:type="paragraph" w:styleId="9">
    <w:name w:val="Normal Indent"/>
    <w:basedOn w:val="1"/>
    <w:link w:val="62"/>
    <w:qFormat/>
    <w:uiPriority w:val="0"/>
    <w:pPr>
      <w:adjustRightInd w:val="0"/>
      <w:spacing w:line="312" w:lineRule="atLeast"/>
      <w:ind w:firstLine="420"/>
      <w:textAlignment w:val="baseline"/>
    </w:pPr>
    <w:rPr>
      <w:kern w:val="0"/>
      <w:sz w:val="20"/>
      <w:szCs w:val="20"/>
    </w:rPr>
  </w:style>
  <w:style w:type="paragraph" w:styleId="10">
    <w:name w:val="caption"/>
    <w:basedOn w:val="1"/>
    <w:next w:val="1"/>
    <w:qFormat/>
    <w:uiPriority w:val="0"/>
    <w:rPr>
      <w:rFonts w:ascii="Calibri Light" w:hAnsi="Calibri Light" w:eastAsia="黑体"/>
      <w:sz w:val="20"/>
      <w:szCs w:val="20"/>
    </w:rPr>
  </w:style>
  <w:style w:type="paragraph" w:styleId="11">
    <w:name w:val="toa heading"/>
    <w:basedOn w:val="1"/>
    <w:next w:val="1"/>
    <w:unhideWhenUsed/>
    <w:qFormat/>
    <w:uiPriority w:val="99"/>
    <w:pPr>
      <w:spacing w:before="120"/>
    </w:pPr>
    <w:rPr>
      <w:rFonts w:ascii="Calibri Light" w:hAnsi="Calibri Light"/>
    </w:rPr>
  </w:style>
  <w:style w:type="paragraph" w:styleId="12">
    <w:name w:val="annotation text"/>
    <w:basedOn w:val="1"/>
    <w:link w:val="40"/>
    <w:qFormat/>
    <w:uiPriority w:val="0"/>
    <w:pPr>
      <w:jc w:val="left"/>
    </w:pPr>
    <w:rPr>
      <w:kern w:val="0"/>
      <w:sz w:val="20"/>
    </w:rPr>
  </w:style>
  <w:style w:type="paragraph" w:styleId="13">
    <w:name w:val="Body Text Indent"/>
    <w:basedOn w:val="1"/>
    <w:next w:val="1"/>
    <w:link w:val="46"/>
    <w:qFormat/>
    <w:uiPriority w:val="0"/>
    <w:pPr>
      <w:spacing w:after="120"/>
      <w:ind w:left="420" w:leftChars="200"/>
    </w:pPr>
    <w:rPr>
      <w:kern w:val="0"/>
      <w:sz w:val="20"/>
    </w:r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Plain Text"/>
    <w:basedOn w:val="1"/>
    <w:link w:val="58"/>
    <w:qFormat/>
    <w:uiPriority w:val="0"/>
    <w:pPr>
      <w:spacing w:beforeLines="50" w:afterLines="50" w:line="400" w:lineRule="exact"/>
    </w:pPr>
    <w:rPr>
      <w:rFonts w:ascii="宋体" w:hAnsi="Courier New"/>
      <w:kern w:val="0"/>
      <w:sz w:val="24"/>
    </w:rPr>
  </w:style>
  <w:style w:type="paragraph" w:styleId="17">
    <w:name w:val="Body Text Indent 2"/>
    <w:basedOn w:val="1"/>
    <w:qFormat/>
    <w:uiPriority w:val="0"/>
    <w:pPr>
      <w:spacing w:line="500" w:lineRule="exact"/>
      <w:ind w:firstLine="511" w:firstLineChars="213"/>
    </w:pPr>
    <w:rPr>
      <w:kern w:val="0"/>
      <w:sz w:val="24"/>
    </w:rPr>
  </w:style>
  <w:style w:type="paragraph" w:styleId="18">
    <w:name w:val="Balloon Text"/>
    <w:basedOn w:val="1"/>
    <w:link w:val="53"/>
    <w:qFormat/>
    <w:uiPriority w:val="0"/>
    <w:rPr>
      <w:kern w:val="0"/>
      <w:sz w:val="18"/>
      <w:szCs w:val="18"/>
    </w:rPr>
  </w:style>
  <w:style w:type="paragraph" w:styleId="19">
    <w:name w:val="footer"/>
    <w:basedOn w:val="1"/>
    <w:link w:val="64"/>
    <w:qFormat/>
    <w:uiPriority w:val="0"/>
    <w:pPr>
      <w:tabs>
        <w:tab w:val="center" w:pos="4153"/>
        <w:tab w:val="right" w:pos="8306"/>
      </w:tabs>
      <w:snapToGrid w:val="0"/>
      <w:jc w:val="left"/>
    </w:pPr>
    <w:rPr>
      <w:kern w:val="0"/>
      <w:sz w:val="18"/>
      <w:szCs w:val="18"/>
    </w:rPr>
  </w:style>
  <w:style w:type="paragraph" w:styleId="20">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0"/>
  </w:style>
  <w:style w:type="paragraph" w:styleId="22">
    <w:name w:val="Subtitle"/>
    <w:basedOn w:val="1"/>
    <w:next w:val="1"/>
    <w:link w:val="55"/>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qFormat/>
    <w:uiPriority w:val="0"/>
    <w:pPr>
      <w:snapToGrid w:val="0"/>
      <w:jc w:val="left"/>
    </w:pPr>
    <w:rPr>
      <w:sz w:val="18"/>
    </w:rPr>
  </w:style>
  <w:style w:type="paragraph" w:styleId="24">
    <w:name w:val="toc 6"/>
    <w:basedOn w:val="1"/>
    <w:next w:val="1"/>
    <w:qFormat/>
    <w:uiPriority w:val="0"/>
    <w:pPr>
      <w:ind w:left="1050"/>
      <w:jc w:val="left"/>
    </w:pPr>
    <w:rPr>
      <w:rFonts w:ascii="Century Gothic" w:hAnsi="Century Gothic"/>
      <w:sz w:val="18"/>
      <w:szCs w:val="18"/>
    </w:rPr>
  </w:style>
  <w:style w:type="paragraph" w:styleId="25">
    <w:name w:val="Body Text Indent 3"/>
    <w:basedOn w:val="1"/>
    <w:link w:val="50"/>
    <w:qFormat/>
    <w:uiPriority w:val="0"/>
    <w:pPr>
      <w:spacing w:after="120"/>
      <w:ind w:left="420" w:leftChars="200"/>
    </w:pPr>
    <w:rPr>
      <w:kern w:val="0"/>
      <w:sz w:val="16"/>
      <w:szCs w:val="16"/>
    </w:rPr>
  </w:style>
  <w:style w:type="paragraph" w:styleId="26">
    <w:name w:val="toc 2"/>
    <w:basedOn w:val="1"/>
    <w:next w:val="1"/>
    <w:qFormat/>
    <w:uiPriority w:val="0"/>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annotation subject"/>
    <w:basedOn w:val="12"/>
    <w:next w:val="12"/>
    <w:link w:val="60"/>
    <w:qFormat/>
    <w:uiPriority w:val="0"/>
    <w:rPr>
      <w:b/>
      <w:bCs/>
    </w:rPr>
  </w:style>
  <w:style w:type="paragraph" w:styleId="29">
    <w:name w:val="Body Text First Indent 2"/>
    <w:basedOn w:val="13"/>
    <w:next w:val="1"/>
    <w:link w:val="61"/>
    <w:qFormat/>
    <w:uiPriority w:val="99"/>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rFonts w:ascii="Times New Roman" w:hAnsi="Times New Roman" w:eastAsia="宋体" w:cs="Times New Roman"/>
      <w:b/>
    </w:rPr>
  </w:style>
  <w:style w:type="character" w:styleId="34">
    <w:name w:val="FollowedHyperlink"/>
    <w:qFormat/>
    <w:uiPriority w:val="0"/>
    <w:rPr>
      <w:rFonts w:ascii="Times New Roman" w:hAnsi="Times New Roman" w:eastAsia="宋体" w:cs="Times New Roman"/>
      <w:color w:val="333333"/>
      <w:u w:val="none"/>
    </w:rPr>
  </w:style>
  <w:style w:type="character" w:styleId="35">
    <w:name w:val="Hyperlink"/>
    <w:qFormat/>
    <w:uiPriority w:val="0"/>
    <w:rPr>
      <w:rFonts w:ascii="Times New Roman" w:hAnsi="Times New Roman" w:eastAsia="宋体" w:cs="Times New Roman"/>
      <w:color w:val="000000"/>
      <w:sz w:val="20"/>
      <w:szCs w:val="20"/>
      <w:u w:val="none"/>
    </w:rPr>
  </w:style>
  <w:style w:type="character" w:styleId="36">
    <w:name w:val="annotation reference"/>
    <w:basedOn w:val="32"/>
    <w:qFormat/>
    <w:uiPriority w:val="0"/>
    <w:rPr>
      <w:rFonts w:ascii="Times New Roman" w:hAnsi="Times New Roman" w:eastAsia="宋体" w:cs="Times New Roman"/>
      <w:sz w:val="21"/>
      <w:szCs w:val="21"/>
    </w:rPr>
  </w:style>
  <w:style w:type="character" w:styleId="37">
    <w:name w:val="footnote reference"/>
    <w:basedOn w:val="32"/>
    <w:qFormat/>
    <w:uiPriority w:val="0"/>
    <w:rPr>
      <w:vertAlign w:val="superscript"/>
    </w:rPr>
  </w:style>
  <w:style w:type="paragraph" w:customStyle="1" w:styleId="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表格文字"/>
    <w:basedOn w:val="1"/>
    <w:next w:val="3"/>
    <w:qFormat/>
    <w:uiPriority w:val="0"/>
    <w:pPr>
      <w:adjustRightInd w:val="0"/>
      <w:spacing w:line="420" w:lineRule="atLeast"/>
      <w:jc w:val="left"/>
      <w:textAlignment w:val="baseline"/>
    </w:pPr>
    <w:rPr>
      <w:kern w:val="0"/>
      <w:szCs w:val="20"/>
    </w:rPr>
  </w:style>
  <w:style w:type="character" w:customStyle="1" w:styleId="40">
    <w:name w:val="批注文字 字符"/>
    <w:link w:val="12"/>
    <w:qFormat/>
    <w:uiPriority w:val="0"/>
    <w:rPr>
      <w:rFonts w:ascii="Times New Roman" w:hAnsi="Times New Roman" w:eastAsia="宋体" w:cs="Times New Roman"/>
      <w:szCs w:val="24"/>
    </w:rPr>
  </w:style>
  <w:style w:type="character" w:customStyle="1" w:styleId="41">
    <w:name w:val="layui-laypage-curr"/>
    <w:qFormat/>
    <w:uiPriority w:val="0"/>
    <w:rPr>
      <w:rFonts w:ascii="Times New Roman" w:hAnsi="Times New Roman" w:eastAsia="宋体" w:cs="Times New Roman"/>
    </w:rPr>
  </w:style>
  <w:style w:type="character" w:customStyle="1" w:styleId="42">
    <w:name w:val="正文文本首行缩进 字符"/>
    <w:link w:val="2"/>
    <w:qFormat/>
    <w:uiPriority w:val="0"/>
    <w:rPr>
      <w:rFonts w:ascii="Times New Roman" w:hAnsi="Times New Roman" w:eastAsia="宋体" w:cs="Times New Roman"/>
      <w:szCs w:val="24"/>
    </w:rPr>
  </w:style>
  <w:style w:type="character" w:customStyle="1" w:styleId="43">
    <w:name w:val="layui-this"/>
    <w:qFormat/>
    <w:uiPriority w:val="0"/>
    <w:rPr>
      <w:rFonts w:ascii="Times New Roman" w:hAnsi="Times New Roman" w:eastAsia="宋体" w:cs="Times New Roman"/>
      <w:bdr w:val="single" w:color="EEEEEE" w:sz="6" w:space="0"/>
      <w:shd w:val="clear" w:color="auto" w:fill="FFFFFF"/>
    </w:rPr>
  </w:style>
  <w:style w:type="character" w:customStyle="1" w:styleId="44">
    <w:name w:val="tree-add"/>
    <w:qFormat/>
    <w:uiPriority w:val="0"/>
    <w:rPr>
      <w:rFonts w:ascii="Times New Roman" w:hAnsi="Times New Roman" w:eastAsia="宋体" w:cs="Times New Roman"/>
    </w:rPr>
  </w:style>
  <w:style w:type="character" w:customStyle="1" w:styleId="45">
    <w:name w:val="标题 1 字符"/>
    <w:link w:val="4"/>
    <w:qFormat/>
    <w:uiPriority w:val="0"/>
    <w:rPr>
      <w:rFonts w:ascii="Times New Roman" w:hAnsi="Times New Roman" w:eastAsia="宋体" w:cs="Times New Roman"/>
      <w:b/>
      <w:bCs/>
      <w:kern w:val="44"/>
      <w:sz w:val="44"/>
      <w:szCs w:val="44"/>
    </w:rPr>
  </w:style>
  <w:style w:type="character" w:customStyle="1" w:styleId="46">
    <w:name w:val="正文文本缩进 字符"/>
    <w:link w:val="13"/>
    <w:qFormat/>
    <w:uiPriority w:val="0"/>
    <w:rPr>
      <w:rFonts w:ascii="Times New Roman" w:hAnsi="Times New Roman" w:eastAsia="宋体" w:cs="Times New Roman"/>
      <w:szCs w:val="24"/>
    </w:rPr>
  </w:style>
  <w:style w:type="character" w:customStyle="1" w:styleId="47">
    <w:name w:val="font91"/>
    <w:qFormat/>
    <w:uiPriority w:val="0"/>
    <w:rPr>
      <w:rFonts w:ascii="宋体" w:hAnsi="宋体" w:eastAsia="宋体" w:cs="宋体"/>
      <w:color w:val="FF0000"/>
      <w:sz w:val="22"/>
      <w:szCs w:val="22"/>
      <w:u w:val="none"/>
    </w:rPr>
  </w:style>
  <w:style w:type="character" w:customStyle="1" w:styleId="48">
    <w:name w:val="first-child"/>
    <w:qFormat/>
    <w:uiPriority w:val="0"/>
    <w:rPr>
      <w:rFonts w:ascii="Times New Roman" w:hAnsi="Times New Roman" w:eastAsia="宋体" w:cs="Times New Roman"/>
    </w:rPr>
  </w:style>
  <w:style w:type="character" w:customStyle="1" w:styleId="49">
    <w:name w:val="标题 5 字符"/>
    <w:link w:val="7"/>
    <w:qFormat/>
    <w:uiPriority w:val="0"/>
    <w:rPr>
      <w:rFonts w:ascii="Times New Roman" w:hAnsi="Times New Roman" w:eastAsia="宋体" w:cs="Times New Roman"/>
      <w:b/>
      <w:bCs/>
      <w:sz w:val="28"/>
      <w:szCs w:val="28"/>
    </w:rPr>
  </w:style>
  <w:style w:type="character" w:customStyle="1" w:styleId="50">
    <w:name w:val="正文文本缩进 3 字符"/>
    <w:link w:val="25"/>
    <w:qFormat/>
    <w:uiPriority w:val="0"/>
    <w:rPr>
      <w:rFonts w:ascii="Times New Roman" w:hAnsi="Times New Roman" w:eastAsia="宋体" w:cs="Times New Roman"/>
      <w:sz w:val="16"/>
      <w:szCs w:val="16"/>
    </w:rPr>
  </w:style>
  <w:style w:type="character" w:customStyle="1" w:styleId="51">
    <w:name w:val="正文文本缩进 2 字符"/>
    <w:link w:val="52"/>
    <w:qFormat/>
    <w:uiPriority w:val="0"/>
    <w:rPr>
      <w:rFonts w:ascii="仿宋_GB2312" w:hAnsi="宋体" w:eastAsia="宋体" w:cs="Arial"/>
      <w:b/>
      <w:bCs/>
      <w:sz w:val="24"/>
      <w:szCs w:val="24"/>
    </w:rPr>
  </w:style>
  <w:style w:type="paragraph" w:customStyle="1" w:styleId="52">
    <w:name w:val="正文文本缩进 21"/>
    <w:basedOn w:val="1"/>
    <w:link w:val="51"/>
    <w:qFormat/>
    <w:uiPriority w:val="0"/>
    <w:pPr>
      <w:snapToGrid w:val="0"/>
      <w:ind w:firstLine="542" w:firstLineChars="225"/>
    </w:pPr>
    <w:rPr>
      <w:rFonts w:ascii="仿宋_GB2312" w:hAnsi="宋体"/>
      <w:b/>
      <w:bCs/>
      <w:kern w:val="0"/>
      <w:sz w:val="24"/>
    </w:rPr>
  </w:style>
  <w:style w:type="character" w:customStyle="1" w:styleId="53">
    <w:name w:val="批注框文本 字符"/>
    <w:link w:val="18"/>
    <w:qFormat/>
    <w:uiPriority w:val="0"/>
    <w:rPr>
      <w:rFonts w:ascii="Times New Roman" w:hAnsi="Times New Roman" w:eastAsia="宋体" w:cs="Times New Roman"/>
      <w:sz w:val="18"/>
      <w:szCs w:val="18"/>
    </w:rPr>
  </w:style>
  <w:style w:type="character" w:customStyle="1" w:styleId="54">
    <w:name w:val="layui-this4"/>
    <w:qFormat/>
    <w:uiPriority w:val="0"/>
    <w:rPr>
      <w:rFonts w:ascii="Times New Roman" w:hAnsi="Times New Roman" w:eastAsia="宋体" w:cs="Times New Roman"/>
      <w:bdr w:val="single" w:color="EEEEEE" w:sz="6" w:space="0"/>
      <w:shd w:val="clear" w:color="auto" w:fill="FFFFFF"/>
    </w:rPr>
  </w:style>
  <w:style w:type="character" w:customStyle="1" w:styleId="55">
    <w:name w:val="副标题 字符"/>
    <w:link w:val="22"/>
    <w:qFormat/>
    <w:uiPriority w:val="0"/>
    <w:rPr>
      <w:rFonts w:ascii="Cambria" w:hAnsi="Cambria" w:eastAsia="宋体" w:cs="Times New Roman"/>
      <w:b/>
      <w:bCs/>
      <w:kern w:val="28"/>
      <w:sz w:val="32"/>
      <w:szCs w:val="32"/>
    </w:rPr>
  </w:style>
  <w:style w:type="character" w:customStyle="1" w:styleId="56">
    <w:name w:val="纯文本 字符"/>
    <w:link w:val="57"/>
    <w:qFormat/>
    <w:uiPriority w:val="0"/>
    <w:rPr>
      <w:rFonts w:ascii="宋体" w:hAnsi="Courier New" w:eastAsia="宋体" w:cs="Times New Roman"/>
      <w:kern w:val="0"/>
      <w:sz w:val="24"/>
      <w:szCs w:val="24"/>
    </w:rPr>
  </w:style>
  <w:style w:type="paragraph" w:customStyle="1" w:styleId="57">
    <w:name w:val="纯文本1"/>
    <w:basedOn w:val="1"/>
    <w:link w:val="56"/>
    <w:qFormat/>
    <w:uiPriority w:val="0"/>
    <w:pPr>
      <w:spacing w:beforeLines="50" w:afterLines="50" w:line="400" w:lineRule="exact"/>
    </w:pPr>
    <w:rPr>
      <w:rFonts w:ascii="宋体" w:hAnsi="Courier New"/>
      <w:kern w:val="0"/>
      <w:sz w:val="24"/>
    </w:rPr>
  </w:style>
  <w:style w:type="character" w:customStyle="1" w:styleId="58">
    <w:name w:val="纯文本 字符1"/>
    <w:link w:val="16"/>
    <w:qFormat/>
    <w:uiPriority w:val="0"/>
    <w:rPr>
      <w:rFonts w:ascii="宋体" w:hAnsi="Courier New" w:eastAsia="宋体" w:cs="Times New Roman"/>
      <w:kern w:val="0"/>
      <w:sz w:val="24"/>
      <w:szCs w:val="24"/>
    </w:rPr>
  </w:style>
  <w:style w:type="character" w:customStyle="1" w:styleId="59">
    <w:name w:val="正文文本 字符"/>
    <w:link w:val="3"/>
    <w:qFormat/>
    <w:uiPriority w:val="0"/>
    <w:rPr>
      <w:rFonts w:ascii="Times New Roman" w:hAnsi="Times New Roman" w:eastAsia="宋体" w:cs="Times New Roman"/>
      <w:szCs w:val="24"/>
    </w:rPr>
  </w:style>
  <w:style w:type="character" w:customStyle="1" w:styleId="60">
    <w:name w:val="批注主题 字符"/>
    <w:link w:val="28"/>
    <w:qFormat/>
    <w:uiPriority w:val="0"/>
    <w:rPr>
      <w:rFonts w:ascii="Times New Roman" w:hAnsi="Times New Roman" w:eastAsia="宋体" w:cs="Times New Roman"/>
      <w:b/>
      <w:bCs/>
      <w:szCs w:val="24"/>
    </w:rPr>
  </w:style>
  <w:style w:type="character" w:customStyle="1" w:styleId="61">
    <w:name w:val="正文文本首行缩进 2 字符"/>
    <w:link w:val="29"/>
    <w:qFormat/>
    <w:uiPriority w:val="99"/>
    <w:rPr>
      <w:rFonts w:ascii="Times New Roman" w:hAnsi="Times New Roman" w:eastAsia="宋体" w:cs="Times New Roman"/>
      <w:szCs w:val="24"/>
    </w:rPr>
  </w:style>
  <w:style w:type="character" w:customStyle="1" w:styleId="62">
    <w:name w:val="正文缩进 字符"/>
    <w:link w:val="9"/>
    <w:qFormat/>
    <w:uiPriority w:val="0"/>
    <w:rPr>
      <w:rFonts w:ascii="Times New Roman" w:hAnsi="Times New Roman" w:eastAsia="宋体" w:cs="Times New Roman"/>
      <w:kern w:val="0"/>
      <w:szCs w:val="20"/>
    </w:rPr>
  </w:style>
  <w:style w:type="character" w:customStyle="1" w:styleId="63">
    <w:name w:val="页眉 字符"/>
    <w:link w:val="20"/>
    <w:qFormat/>
    <w:uiPriority w:val="0"/>
    <w:rPr>
      <w:rFonts w:ascii="Times New Roman" w:hAnsi="Times New Roman" w:eastAsia="宋体" w:cs="Times New Roman"/>
      <w:sz w:val="18"/>
      <w:szCs w:val="18"/>
    </w:rPr>
  </w:style>
  <w:style w:type="character" w:customStyle="1" w:styleId="64">
    <w:name w:val="页脚 字符"/>
    <w:link w:val="19"/>
    <w:qFormat/>
    <w:uiPriority w:val="0"/>
    <w:rPr>
      <w:rFonts w:ascii="Times New Roman" w:hAnsi="Times New Roman" w:eastAsia="宋体" w:cs="Times New Roman"/>
      <w:sz w:val="18"/>
      <w:szCs w:val="18"/>
    </w:rPr>
  </w:style>
  <w:style w:type="character" w:customStyle="1" w:styleId="65">
    <w:name w:val="纯文本 Char1"/>
    <w:qFormat/>
    <w:uiPriority w:val="0"/>
    <w:rPr>
      <w:rFonts w:ascii="宋体" w:hAnsi="Courier New" w:eastAsia="宋体" w:cs="Times New Roman"/>
      <w:sz w:val="24"/>
      <w:szCs w:val="24"/>
      <w:lang w:val="en-US" w:eastAsia="zh-CN" w:bidi="ar-SA"/>
    </w:rPr>
  </w:style>
  <w:style w:type="character" w:customStyle="1" w:styleId="66">
    <w:name w:val="纯文本 Char3"/>
    <w:qFormat/>
    <w:uiPriority w:val="0"/>
    <w:rPr>
      <w:rFonts w:ascii="宋体" w:hAnsi="Courier New" w:eastAsia="宋体" w:cs="Times New Roman"/>
      <w:kern w:val="2"/>
      <w:sz w:val="21"/>
      <w:lang w:val="en-US" w:eastAsia="zh-CN" w:bidi="ar-SA"/>
    </w:rPr>
  </w:style>
  <w:style w:type="paragraph" w:customStyle="1" w:styleId="67">
    <w:name w:val="正文1"/>
    <w:basedOn w:val="1"/>
    <w:next w:val="1"/>
    <w:qFormat/>
    <w:uiPriority w:val="0"/>
    <w:pPr>
      <w:numPr>
        <w:ilvl w:val="0"/>
        <w:numId w:val="2"/>
      </w:numPr>
      <w:spacing w:before="100" w:after="100" w:line="400" w:lineRule="exact"/>
      <w:ind w:firstLine="480"/>
      <w:jc w:val="left"/>
    </w:pPr>
    <w:rPr>
      <w:rFonts w:ascii="Arial" w:hAnsi="Arial"/>
      <w:sz w:val="24"/>
      <w:szCs w:val="20"/>
    </w:rPr>
  </w:style>
  <w:style w:type="paragraph" w:customStyle="1" w:styleId="68">
    <w:name w:val="保留正文"/>
    <w:basedOn w:val="3"/>
    <w:qFormat/>
    <w:uiPriority w:val="0"/>
    <w:pPr>
      <w:keepNext/>
      <w:spacing w:after="160"/>
    </w:pPr>
    <w:rPr>
      <w:rFonts w:ascii="仿宋_GB2312" w:hAnsi="Tahoma"/>
      <w:b/>
    </w:rPr>
  </w:style>
  <w:style w:type="paragraph" w:customStyle="1" w:styleId="69">
    <w:name w:val="正文段"/>
    <w:basedOn w:val="1"/>
    <w:qFormat/>
    <w:uiPriority w:val="0"/>
    <w:pPr>
      <w:widowControl/>
      <w:snapToGrid w:val="0"/>
      <w:spacing w:afterLines="50"/>
      <w:ind w:firstLine="200" w:firstLineChars="200"/>
    </w:pPr>
    <w:rPr>
      <w:kern w:val="0"/>
      <w:sz w:val="24"/>
      <w:szCs w:val="20"/>
    </w:rPr>
  </w:style>
  <w:style w:type="paragraph" w:styleId="70">
    <w:name w:val="List Paragraph"/>
    <w:basedOn w:val="1"/>
    <w:qFormat/>
    <w:uiPriority w:val="0"/>
    <w:pPr>
      <w:ind w:firstLine="420" w:firstLineChars="200"/>
    </w:pPr>
  </w:style>
  <w:style w:type="paragraph" w:customStyle="1" w:styleId="71">
    <w:name w:val="_Style 1"/>
    <w:basedOn w:val="1"/>
    <w:qFormat/>
    <w:uiPriority w:val="0"/>
    <w:pPr>
      <w:ind w:firstLine="420" w:firstLineChars="200"/>
    </w:pPr>
    <w:rPr>
      <w:rFonts w:ascii="Calibri" w:hAnsi="Calibri"/>
      <w:szCs w:val="20"/>
    </w:rPr>
  </w:style>
  <w:style w:type="paragraph" w:customStyle="1" w:styleId="72">
    <w:name w:val="Table Paragraph"/>
    <w:basedOn w:val="1"/>
    <w:qFormat/>
    <w:uiPriority w:val="0"/>
    <w:pPr>
      <w:autoSpaceDE w:val="0"/>
      <w:autoSpaceDN w:val="0"/>
      <w:adjustRightInd w:val="0"/>
      <w:jc w:val="left"/>
    </w:pPr>
    <w:rPr>
      <w:rFonts w:ascii="黑体" w:hAnsi="黑体" w:cs="黑体"/>
      <w:kern w:val="0"/>
      <w:sz w:val="24"/>
    </w:rPr>
  </w:style>
  <w:style w:type="paragraph" w:customStyle="1" w:styleId="73">
    <w:name w:val="默认段落字体 Para Char Char Char Char Char Char Char Char Char1 Char Char Char Char"/>
    <w:basedOn w:val="1"/>
    <w:qFormat/>
    <w:uiPriority w:val="0"/>
    <w:rPr>
      <w:rFonts w:ascii="Tahoma" w:hAnsi="Tahoma"/>
      <w:sz w:val="24"/>
      <w:szCs w:val="20"/>
    </w:rPr>
  </w:style>
  <w:style w:type="paragraph" w:customStyle="1" w:styleId="74">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75">
    <w:name w:val="TOC 标题1"/>
    <w:basedOn w:val="4"/>
    <w:next w:val="1"/>
    <w:qFormat/>
    <w:uiPriority w:val="0"/>
    <w:pPr>
      <w:widowControl/>
      <w:spacing w:before="480" w:after="0" w:line="276" w:lineRule="auto"/>
      <w:jc w:val="left"/>
      <w:outlineLvl w:val="9"/>
    </w:pPr>
    <w:rPr>
      <w:rFonts w:ascii="Cambria" w:hAnsi="Cambria"/>
      <w:color w:val="366091"/>
      <w:kern w:val="0"/>
      <w:sz w:val="28"/>
      <w:szCs w:val="28"/>
    </w:rPr>
  </w:style>
  <w:style w:type="paragraph" w:customStyle="1" w:styleId="76">
    <w:name w:val="修订1"/>
    <w:qFormat/>
    <w:uiPriority w:val="0"/>
    <w:rPr>
      <w:rFonts w:ascii="Times New Roman" w:hAnsi="Times New Roman" w:eastAsia="宋体" w:cs="Times New Roman"/>
      <w:kern w:val="2"/>
      <w:sz w:val="21"/>
      <w:szCs w:val="24"/>
      <w:lang w:val="en-US" w:eastAsia="zh-CN" w:bidi="ar-SA"/>
    </w:rPr>
  </w:style>
  <w:style w:type="paragraph" w:customStyle="1" w:styleId="77">
    <w:name w:val="列出段落1"/>
    <w:basedOn w:val="1"/>
    <w:qFormat/>
    <w:uiPriority w:val="0"/>
    <w:pPr>
      <w:ind w:firstLine="420" w:firstLineChars="200"/>
    </w:pPr>
    <w:rPr>
      <w:rFonts w:ascii="Calibri" w:hAnsi="Calibri"/>
      <w:szCs w:val="22"/>
    </w:rPr>
  </w:style>
  <w:style w:type="paragraph" w:customStyle="1" w:styleId="78">
    <w:name w:val="正文K"/>
    <w:unhideWhenUsed/>
    <w:qFormat/>
    <w:uiPriority w:val="0"/>
    <w:pPr>
      <w:widowControl w:val="0"/>
      <w:autoSpaceDE w:val="0"/>
      <w:autoSpaceDN w:val="0"/>
      <w:adjustRightInd w:val="0"/>
      <w:spacing w:line="340" w:lineRule="atLeast"/>
      <w:ind w:firstLine="428"/>
      <w:jc w:val="both"/>
    </w:pPr>
    <w:rPr>
      <w:rFonts w:hint="eastAsia" w:ascii="汉仪楷体简" w:hAnsi="Times New Roman" w:eastAsia="汉仪楷体简" w:cs="汉仪楷体简"/>
      <w:sz w:val="21"/>
      <w:szCs w:val="21"/>
      <w:lang w:val="en-US" w:eastAsia="zh-CN" w:bidi="ar-SA"/>
    </w:rPr>
  </w:style>
  <w:style w:type="paragraph" w:customStyle="1" w:styleId="7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80">
    <w:name w:val="fontstyle01"/>
    <w:qFormat/>
    <w:uiPriority w:val="0"/>
    <w:rPr>
      <w:rFonts w:hint="eastAsia" w:ascii="宋体" w:hAnsi="宋体" w:eastAsia="宋体"/>
      <w:color w:val="000000"/>
      <w:sz w:val="22"/>
      <w:szCs w:val="22"/>
    </w:rPr>
  </w:style>
  <w:style w:type="table" w:customStyle="1" w:styleId="81">
    <w:name w:val="Table Normal"/>
    <w:semiHidden/>
    <w:unhideWhenUsed/>
    <w:qFormat/>
    <w:uiPriority w:val="0"/>
    <w:tblPr>
      <w:tblCellMar>
        <w:top w:w="0" w:type="dxa"/>
        <w:left w:w="0" w:type="dxa"/>
        <w:bottom w:w="0" w:type="dxa"/>
        <w:right w:w="0" w:type="dxa"/>
      </w:tblCellMar>
    </w:tblPr>
  </w:style>
  <w:style w:type="paragraph" w:customStyle="1" w:styleId="82">
    <w:name w:val="Table Text"/>
    <w:basedOn w:val="1"/>
    <w:semiHidden/>
    <w:qFormat/>
    <w:uiPriority w:val="0"/>
    <w:rPr>
      <w:rFonts w:ascii="Arial" w:hAnsi="Arial" w:eastAsia="Arial" w:cs="Arial"/>
      <w:szCs w:val="21"/>
      <w:lang w:eastAsia="en-US"/>
    </w:rPr>
  </w:style>
  <w:style w:type="paragraph" w:customStyle="1" w:styleId="83">
    <w:name w:val="biaoge"/>
    <w:basedOn w:val="1"/>
    <w:unhideWhenUsed/>
    <w:qFormat/>
    <w:uiPriority w:val="0"/>
  </w:style>
  <w:style w:type="paragraph" w:customStyle="1" w:styleId="84">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4a2bde43-a02d-474a-8cc2-5dbb3a78f5f4</errorID>
      <errorWord>-</errorWord>
      <group>L1_Format</group>
      <groupName>格式问题</groupName>
      <ability>L2_HalfPunc</ability>
      <abilityName>全半角检查</abilityName>
      <candidateList>
        <item>－</item>
      </candidateList>
      <explain>文本全半角错误。</explain>
      <paraID> 992857E</paraID>
      <start>94</start>
      <end>95</end>
      <status>unmodified</status>
      <modifiedWord/>
      <trackRevisions>false</trackRevisions>
    </reviewItem>
    <reviewItem>
      <errorID>b916c13d-6075-4a50-9158-0ad5deb8fac0</errorID>
      <errorWord>间</errorWord>
      <group>L1_Word</group>
      <groupName>字词问题</groupName>
      <ability>L2_Typo</ability>
      <abilityName>字词错误</abilityName>
      <candidateList>
        <item>间为</item>
      </candidateList>
      <explain/>
      <paraID> 9500082</paraID>
      <start>47</start>
      <end>48</end>
      <status>unmodified</status>
      <modifiedWord/>
      <trackRevisions>false</trackRevisions>
    </reviewItem>
    <reviewItem>
      <errorID>b767d403-ea7f-4c18-95e7-1818d2ea37d6</errorID>
      <errorWord>0574—27680520</errorWord>
      <group>L1_Punc</group>
      <groupName>标点问题</groupName>
      <ability>L2_Punc</ability>
      <abilityName>标点符号检查</abilityName>
      <candidateList>
        <item>0574-27680520</item>
      </candidateList>
      <explain>电话号码使用短横线。</explain>
      <paraID>503ABAF5</paraID>
      <start>15</start>
      <end>28</end>
      <status>unmodified</status>
      <modifiedWord/>
      <trackRevisions>false</trackRevisions>
    </reviewItem>
    <reviewItem>
      <errorID>f838734b-bde3-4a2e-9d84-88a09b9cee06</errorID>
      <errorWord>-</errorWord>
      <group>L1_Format</group>
      <groupName>格式问题</groupName>
      <ability>L2_HalfPunc</ability>
      <abilityName>全半角检查</abilityName>
      <candidateList>
        <item>－</item>
      </candidateList>
      <explain>文本全半角错误。</explain>
      <paraID>3440E14C</paraID>
      <start>29</start>
      <end>30</end>
      <status>unmodified</status>
      <modifiedWord/>
      <trackRevisions>false</trackRevisions>
    </reviewItem>
    <reviewItem>
      <errorID>7389fe80-2610-41e8-a0e2-6a6a10a282ff</errorID>
      <errorWord>-</errorWord>
      <group>L1_Format</group>
      <groupName>格式问题</groupName>
      <ability>L2_HalfPunc</ability>
      <abilityName>全半角检查</abilityName>
      <candidateList>
        <item>－</item>
      </candidateList>
      <explain>文本全半角错误。</explain>
      <paraID>3440E14C</paraID>
      <start>34</start>
      <end>35</end>
      <status>unmodified</status>
      <modifiedWord/>
      <trackRevisions>false</trackRevisions>
    </reviewItem>
    <reviewItem>
      <errorID>b4c1ac10-c9c6-4d3e-97b9-27375fd33aa6</errorID>
      <errorWord>(</errorWord>
      <group>L1_Format</group>
      <groupName>格式问题</groupName>
      <ability>L2_HalfPunc</ability>
      <abilityName>全半角检查</abilityName>
      <candidateList>
        <item>（</item>
      </candidateList>
      <explain>文本全半角错误。</explain>
      <paraID>7901DD3A</paraID>
      <start>4</start>
      <end>5</end>
      <status>unmodified</status>
      <modifiedWord/>
      <trackRevisions>false</trackRevisions>
    </reviewItem>
    <reviewItem>
      <errorID>61f1aab1-0c61-44f4-bcdd-edf77b11e132</errorID>
      <errorWord>200万-500万</errorWord>
      <group>L1_Knowledge</group>
      <groupName>知识性问题</groupName>
      <ability>L2_Knowledge</ability>
      <abilityName>其他知识</abilityName>
      <candidateList>
        <item>200万—500万</item>
      </candidateList>
      <explain>1. “200万-500万”中的单位“万”仅出现在后一个数字上，容易引起歧义；根据《现代汉语标点符号数字用法规范手册》，数字表示范围两边需要使用统一的格式。2.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180F4249</paraID>
      <start>0</start>
      <end>9</end>
      <status>unmodified</status>
      <modifiedWord/>
      <trackRevisions>false</trackRevisions>
    </reviewItem>
    <reviewItem>
      <errorID>f7640bf8-2d1c-4659-842d-c90ae753bc0a</errorID>
      <errorWord>(</errorWord>
      <group>L1_Format</group>
      <groupName>格式问题</groupName>
      <ability>L2_HalfPunc</ability>
      <abilityName>全半角检查</abilityName>
      <candidateList>
        <item>（</item>
      </candidateList>
      <explain>文本全半角错误。</explain>
      <paraID>180F4249</paraID>
      <start>9</start>
      <end>10</end>
      <status>unmodified</status>
      <modifiedWord/>
      <trackRevisions>false</trackRevisions>
    </reviewItem>
    <reviewItem>
      <errorID>6f8645dd-93d9-43b3-aa1c-efda8edee5c0</errorID>
      <errorWord>)</errorWord>
      <group>L1_Format</group>
      <groupName>格式问题</groupName>
      <ability>L2_HalfPunc</ability>
      <abilityName>全半角检查</abilityName>
      <candidateList>
        <item>）</item>
      </candidateList>
      <explain>文本全半角错误。</explain>
      <paraID>180F4249</paraID>
      <start>11</start>
      <end>12</end>
      <status>unmodified</status>
      <modifiedWord/>
      <trackRevisions>false</trackRevisions>
    </reviewItem>
    <reviewItem>
      <errorID>96960b92-d5d4-418b-947f-081ac8aa9e23</errorID>
      <errorWord>500万-1000万</errorWord>
      <group>L1_Knowledge</group>
      <groupName>知识性问题</groupName>
      <ability>L2_Knowledge</ability>
      <abilityName>其他知识</abilityName>
      <candidateList>
        <item>500万—1000万</item>
      </candidateList>
      <explain>1. “500万-1000万”中的单位“万”仅出现在后一个数字上，容易引起歧义；根据《现代汉语标点符号数字用法规范手册》，数字表示范围两边需要使用统一的格式。2.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4B784C4B</paraID>
      <start>0</start>
      <end>10</end>
      <status>unmodified</status>
      <modifiedWord/>
      <trackRevisions>false</trackRevisions>
    </reviewItem>
    <reviewItem>
      <errorID>8c754ca8-cf20-4a00-8a15-56f1770bd809</errorID>
      <errorWord>(</errorWord>
      <group>L1_Format</group>
      <groupName>格式问题</groupName>
      <ability>L2_HalfPunc</ability>
      <abilityName>全半角检查</abilityName>
      <candidateList>
        <item>（</item>
      </candidateList>
      <explain>文本全半角错误。</explain>
      <paraID>4B784C4B</paraID>
      <start>10</start>
      <end>11</end>
      <status>unmodified</status>
      <modifiedWord/>
      <trackRevisions>false</trackRevisions>
    </reviewItem>
    <reviewItem>
      <errorID>a7eecb71-6374-489b-abc7-1f0b906f4b26</errorID>
      <errorWord>)</errorWord>
      <group>L1_Format</group>
      <groupName>格式问题</groupName>
      <ability>L2_HalfPunc</ability>
      <abilityName>全半角检查</abilityName>
      <candidateList>
        <item>）</item>
      </candidateList>
      <explain>文本全半角错误。</explain>
      <paraID>4B784C4B</paraID>
      <start>12</start>
      <end>13</end>
      <status>unmodified</status>
      <modifiedWord/>
      <trackRevisions>false</trackRevisions>
    </reviewItem>
    <reviewItem>
      <errorID>12318839-d0c4-49f0-84af-06e3ca42e895</errorID>
      <errorWord>1000万-2000万</errorWord>
      <group>L1_Knowledge</group>
      <groupName>知识性问题</groupName>
      <ability>L2_Knowledge</ability>
      <abilityName>其他知识</abilityName>
      <candidateList>
        <item>1000万—2000万</item>
      </candidateList>
      <explain>1. “1000万-2000万”中的单位“万”仅出现在后一个数字上，容易引起歧义；根据《现代汉语标点符号数字用法规范手册》，数字表示范围两边需要使用统一的格式。2.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D54894E</paraID>
      <start>0</start>
      <end>11</end>
      <status>unmodified</status>
      <modifiedWord/>
      <trackRevisions>false</trackRevisions>
    </reviewItem>
    <reviewItem>
      <errorID>f9381676-5ac9-487f-b68f-ed464d9844f7</errorID>
      <errorWord>(</errorWord>
      <group>L1_Format</group>
      <groupName>格式问题</groupName>
      <ability>L2_HalfPunc</ability>
      <abilityName>全半角检查</abilityName>
      <candidateList>
        <item>（</item>
      </candidateList>
      <explain>文本全半角错误。</explain>
      <paraID> D54894E</paraID>
      <start>11</start>
      <end>12</end>
      <status>unmodified</status>
      <modifiedWord/>
      <trackRevisions>false</trackRevisions>
    </reviewItem>
    <reviewItem>
      <errorID>7e07f2e8-5a7b-407c-aa72-30659a825b0b</errorID>
      <errorWord>)</errorWord>
      <group>L1_Format</group>
      <groupName>格式问题</groupName>
      <ability>L2_HalfPunc</ability>
      <abilityName>全半角检查</abilityName>
      <candidateList>
        <item>）</item>
      </candidateList>
      <explain>文本全半角错误。</explain>
      <paraID> D54894E</paraID>
      <start>13</start>
      <end>14</end>
      <status>unmodified</status>
      <modifiedWord/>
      <trackRevisions>false</trackRevisions>
    </reviewItem>
    <reviewItem>
      <errorID>2f09b3d8-b6de-4297-adb9-c4565b54c0f4</errorID>
      <errorWord>2000万-5000万</errorWord>
      <group>L1_Knowledge</group>
      <groupName>知识性问题</groupName>
      <ability>L2_Knowledge</ability>
      <abilityName>其他知识</abilityName>
      <candidateList>
        <item>2000万—5000万</item>
      </candidateList>
      <explain>1. “2000万-5000万”中的单位“万”仅出现在后一个数字上，容易引起歧义；根据《现代汉语标点符号数字用法规范手册》，数字表示范围两边需要使用统一的格式。2.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2E2489DD</paraID>
      <start>0</start>
      <end>11</end>
      <status>unmodified</status>
      <modifiedWord/>
      <trackRevisions>false</trackRevisions>
    </reviewItem>
    <reviewItem>
      <errorID>00d52073-c09d-4dd6-b9f6-346afa022b46</errorID>
      <errorWord>(</errorWord>
      <group>L1_Format</group>
      <groupName>格式问题</groupName>
      <ability>L2_HalfPunc</ability>
      <abilityName>全半角检查</abilityName>
      <candidateList>
        <item>（</item>
      </candidateList>
      <explain>文本全半角错误。</explain>
      <paraID>2E2489DD</paraID>
      <start>11</start>
      <end>12</end>
      <status>unmodified</status>
      <modifiedWord/>
      <trackRevisions>false</trackRevisions>
    </reviewItem>
    <reviewItem>
      <errorID>a7ef1cad-57e4-411e-8660-98869e68105d</errorID>
      <errorWord>)</errorWord>
      <group>L1_Format</group>
      <groupName>格式问题</groupName>
      <ability>L2_HalfPunc</ability>
      <abilityName>全半角检查</abilityName>
      <candidateList>
        <item>）</item>
      </candidateList>
      <explain>文本全半角错误。</explain>
      <paraID>2E2489DD</paraID>
      <start>13</start>
      <end>14</end>
      <status>unmodified</status>
      <modifiedWord/>
      <trackRevisions>false</trackRevisions>
    </reviewItem>
    <reviewItem>
      <errorID>440af26f-1110-441e-a781-9c0a964bfb26</errorID>
      <errorWord>(</errorWord>
      <group>L1_Format</group>
      <groupName>格式问题</groupName>
      <ability>L2_HalfPunc</ability>
      <abilityName>全半角检查</abilityName>
      <candidateList>
        <item>（</item>
      </candidateList>
      <explain>文本全半角错误。</explain>
      <paraID> 5230552</paraID>
      <start>8</start>
      <end>9</end>
      <status>unmodified</status>
      <modifiedWord/>
      <trackRevisions>false</trackRevisions>
    </reviewItem>
    <reviewItem>
      <errorID>2703b190-9a70-4ded-9a77-bef05c985182</errorID>
      <errorWord>)</errorWord>
      <group>L1_Format</group>
      <groupName>格式问题</groupName>
      <ability>L2_HalfPunc</ability>
      <abilityName>全半角检查</abilityName>
      <candidateList>
        <item>）</item>
      </candidateList>
      <explain>文本全半角错误。</explain>
      <paraID> 5230552</paraID>
      <start>10</start>
      <end>11</end>
      <status>unmodified</status>
      <modifiedWord/>
      <trackRevisions>false</trackRevisions>
    </reviewItem>
    <reviewItem>
      <errorID>a6fa8a7c-408d-479c-b942-8a1b313ef2fd</errorID>
      <errorWord>(</errorWord>
      <group>L1_Format</group>
      <groupName>格式问题</groupName>
      <ability>L2_HalfPunc</ability>
      <abilityName>全半角检查</abilityName>
      <candidateList>
        <item>（</item>
      </candidateList>
      <explain>文本全半角错误。</explain>
      <paraID>352CC507</paraID>
      <start>5</start>
      <end>6</end>
      <status>unmodified</status>
      <modifiedWord/>
      <trackRevisions>false</trackRevisions>
    </reviewItem>
    <reviewItem>
      <errorID>7d081357-4c73-4aca-a163-0985eb05f156</errorID>
      <errorWord>)</errorWord>
      <group>L1_Format</group>
      <groupName>格式问题</groupName>
      <ability>L2_HalfPunc</ability>
      <abilityName>全半角检查</abilityName>
      <candidateList>
        <item>）</item>
      </candidateList>
      <explain>文本全半角错误。</explain>
      <paraID>352CC507</paraID>
      <start>7</start>
      <end>8</end>
      <status>unmodified</status>
      <modifiedWord/>
      <trackRevisions>false</trackRevisions>
    </reviewItem>
    <reviewItem>
      <errorID>9c368a02-b9bf-4362-8293-e72c7e38cc2f</errorID>
      <errorWord>(</errorWord>
      <group>L1_Format</group>
      <groupName>格式问题</groupName>
      <ability>L2_HalfPunc</ability>
      <abilityName>全半角检查</abilityName>
      <candidateList>
        <item>（</item>
      </candidateList>
      <explain>文本全半角错误。</explain>
      <paraID>57DCC9FB</paraID>
      <start>6</start>
      <end>7</end>
      <status>unmodified</status>
      <modifiedWord/>
      <trackRevisions>false</trackRevisions>
    </reviewItem>
    <reviewItem>
      <errorID>4659619c-4e28-457a-8150-1b4ba773e7d8</errorID>
      <errorWord>)</errorWord>
      <group>L1_Format</group>
      <groupName>格式问题</groupName>
      <ability>L2_HalfPunc</ability>
      <abilityName>全半角检查</abilityName>
      <candidateList>
        <item>）</item>
      </candidateList>
      <explain>文本全半角错误。</explain>
      <paraID>57DCC9FB</paraID>
      <start>8</start>
      <end>9</end>
      <status>unmodified</status>
      <modifiedWord/>
      <trackRevisions>false</trackRevisions>
    </reviewItem>
    <reviewItem>
      <errorID>549a90e7-d131-4c25-a6d1-b8fdd8a9f069</errorID>
      <errorWord>,</errorWord>
      <group>L1_Format</group>
      <groupName>格式问题</groupName>
      <ability>L2_HalfPunc</ability>
      <abilityName>全半角检查</abilityName>
      <candidateList>
        <item>，</item>
      </candidateList>
      <explain>文本全半角错误。</explain>
      <paraID>40B16C24</paraID>
      <start>23</start>
      <end>24</end>
      <status>unmodified</status>
      <modifiedWord/>
      <trackRevisions>false</trackRevisions>
    </reviewItem>
    <reviewItem>
      <errorID>060012fa-69f6-4573-b548-2414df5883d5</errorID>
      <errorWord>(</errorWord>
      <group>L1_Format</group>
      <groupName>格式问题</groupName>
      <ability>L2_HalfPunc</ability>
      <abilityName>全半角检查</abilityName>
      <candidateList>
        <item>（</item>
      </candidateList>
      <explain>文本全半角错误。</explain>
      <paraID>7D567215</paraID>
      <start>9</start>
      <end>10</end>
      <status>unmodified</status>
      <modifiedWord/>
      <trackRevisions>false</trackRevisions>
    </reviewItem>
    <reviewItem>
      <errorID>62c1f0d5-3aca-4cb2-97e1-6535cffe6c7e</errorID>
      <errorWord>)</errorWord>
      <group>L1_Format</group>
      <groupName>格式问题</groupName>
      <ability>L2_HalfPunc</ability>
      <abilityName>全半角检查</abilityName>
      <candidateList>
        <item>）</item>
      </candidateList>
      <explain>文本全半角错误。</explain>
      <paraID>7D567215</paraID>
      <start>12</start>
      <end>13</end>
      <status>unmodified</status>
      <modifiedWord/>
      <trackRevisions>false</trackRevisions>
    </reviewItem>
    <reviewItem>
      <errorID>3eadbd46-aab8-49c8-80e2-27c0f6b2eca9</errorID>
      <errorWord>,</errorWord>
      <group>L1_Format</group>
      <groupName>格式问题</groupName>
      <ability>L2_HalfPunc</ability>
      <abilityName>全半角检查</abilityName>
      <candidateList>
        <item>，</item>
      </candidateList>
      <explain>文本全半角错误。</explain>
      <paraID>7D567215</paraID>
      <start>36</start>
      <end>37</end>
      <status>unmodified</status>
      <modifiedWord/>
      <trackRevisions>false</trackRevisions>
    </reviewItem>
    <reviewItem>
      <errorID>a390112d-fe6a-460d-a3d0-14a65b321b84</errorID>
      <errorWord>(</errorWord>
      <group>L1_Format</group>
      <groupName>格式问题</groupName>
      <ability>L2_HalfPunc</ability>
      <abilityName>全半角检查</abilityName>
      <candidateList>
        <item>（</item>
      </candidateList>
      <explain>文本全半角错误。</explain>
      <paraID>7D567215</paraID>
      <start>44</start>
      <end>45</end>
      <status>unmodified</status>
      <modifiedWord/>
      <trackRevisions>false</trackRevisions>
    </reviewItem>
    <reviewItem>
      <errorID>e37826dd-c674-44ff-911b-5de9344f4444</errorID>
      <errorWord>)</errorWord>
      <group>L1_Format</group>
      <groupName>格式问题</groupName>
      <ability>L2_HalfPunc</ability>
      <abilityName>全半角检查</abilityName>
      <candidateList>
        <item>）</item>
      </candidateList>
      <explain>文本全半角错误。</explain>
      <paraID>7D567215</paraID>
      <start>47</start>
      <end>48</end>
      <status>unmodified</status>
      <modifiedWord/>
      <trackRevisions>false</trackRevisions>
    </reviewItem>
    <reviewItem>
      <errorID>7b0a398e-def2-45e5-aa19-0d8d29db48df</errorID>
      <errorWord>并</errorWord>
      <group>L1_Word</group>
      <groupName>字词问题</groupName>
      <ability>L2_Typo</ability>
      <abilityName>字词错误</abilityName>
      <candidateList>
        <item>并加</item>
      </candidateList>
      <explain/>
      <paraID>1FC6638C</paraID>
      <start>74</start>
      <end>75</end>
      <status>unmodified</status>
      <modifiedWord/>
      <trackRevisions>false</trackRevisions>
    </reviewItem>
    <reviewItem>
      <errorID>2bb99eb4-6d28-4835-b90a-6c2ffbdeca22</errorID>
      <errorWord>一-</errorWord>
      <group>L1_Punc</group>
      <groupName>标点问题</groupName>
      <ability>L2_Punc</ability>
      <abilityName>标点符号检查</abilityName>
      <candidateList>
        <item>一</item>
      </candidateList>
      <explain/>
      <paraID>5AFD5ED6</paraID>
      <start>2</start>
      <end>4</end>
      <status>unmodified</status>
      <modifiedWord/>
      <trackRevisions>false</trackRevisions>
    </reviewItem>
    <reviewItem>
      <errorID>cab2f0ec-4394-41be-9ce2-cf9c3e55301c</errorID>
      <errorWord>一-</errorWord>
      <group>L1_Punc</group>
      <groupName>标点问题</groupName>
      <ability>L2_Punc</ability>
      <abilityName>标点符号检查</abilityName>
      <candidateList>
        <item>一</item>
      </candidateList>
      <explain/>
      <paraID>1E2843BF</paraID>
      <start>2</start>
      <end>4</end>
      <status>unmodified</status>
      <modifiedWord/>
      <trackRevisions>false</trackRevisions>
    </reviewItem>
    <reviewItem>
      <errorID>c194cc90-3212-4bae-93b6-a1eae056b32e</errorID>
      <errorWord>(</errorWord>
      <group>L1_Format</group>
      <groupName>格式问题</groupName>
      <ability>L2_HalfPunc</ability>
      <abilityName>全半角检查</abilityName>
      <candidateList>
        <item>（</item>
      </candidateList>
      <explain>文本全半角错误。</explain>
      <paraID>70BA4D4A</paraID>
      <start>7</start>
      <end>8</end>
      <status>unmodified</status>
      <modifiedWord/>
      <trackRevisions>false</trackRevisions>
    </reviewItem>
    <reviewItem>
      <errorID>b05e333d-8576-460d-95ed-b5f050a62710</errorID>
      <errorWord>其它</errorWord>
      <group>L1_Word</group>
      <groupName>字词问题</groupName>
      <ability>L2_Alias</ability>
      <abilityName>也作/曾用词</abilityName>
      <candidateList>
        <item>其他</item>
      </candidateList>
      <explain>词汇[其它]为不规范表述或旧称，其规范书面表述为[其他]。</explain>
      <paraID>70BA4D4A</paraID>
      <start>18</start>
      <end>20</end>
      <status>unmodified</status>
      <modifiedWord/>
      <trackRevisions>false</trackRevisions>
    </reviewItem>
    <reviewItem>
      <errorID>5a3652ef-89fb-48de-894f-f324528bdf13</errorID>
      <errorWord>)</errorWord>
      <group>L1_Format</group>
      <groupName>格式问题</groupName>
      <ability>L2_HalfPunc</ability>
      <abilityName>全半角检查</abilityName>
      <candidateList>
        <item>）</item>
      </candidateList>
      <explain>文本全半角错误。</explain>
      <paraID>70BA4D4A</paraID>
      <start>36</start>
      <end>37</end>
      <status>unmodified</status>
      <modifiedWord/>
      <trackRevisions>false</trackRevisions>
    </reviewItem>
    <reviewItem>
      <errorID>bb41a701-48e8-4863-b165-08fb0f1d0a4d</errorID>
      <errorWord>间</errorWord>
      <group>L1_Word</group>
      <groupName>字词问题</groupName>
      <ability>L2_Typo</ability>
      <abilityName>字词错误</abilityName>
      <candidateList>
        <item>间之</item>
      </candidateList>
      <explain/>
      <paraID>20FD2AD0</paraID>
      <start>8</start>
      <end>9</end>
      <status>unmodified</status>
      <modifiedWord/>
      <trackRevisions>false</trackRevisions>
    </reviewItem>
    <reviewItem>
      <errorID>436f8885-9365-4c7c-8aba-b4b6bd157c5d</errorID>
      <errorWord>不</errorWord>
      <group>L1_Word</group>
      <groupName>字词问题</groupName>
      <ability>L2_Typo</ability>
      <abilityName>字词错误</abilityName>
      <candidateList>
        <item>不符</item>
      </candidateList>
      <explain/>
      <paraID>1F3A16BF</paraID>
      <start>39</start>
      <end>40</end>
      <status>unmodified</status>
      <modifiedWord/>
      <trackRevisions>false</trackRevisions>
    </reviewItem>
    <reviewItem>
      <errorID>d35da7de-c50d-4270-bbcb-c007756021c1</errorID>
      <errorWord>,</errorWord>
      <group>L1_Format</group>
      <groupName>格式问题</groupName>
      <ability>L2_HalfPunc</ability>
      <abilityName>全半角检查</abilityName>
      <candidateList>
        <item>，</item>
      </candidateList>
      <explain>文本全半角错误。</explain>
      <paraID>108E7D7E</paraID>
      <start>26</start>
      <end>27</end>
      <status>unmodified</status>
      <modifiedWord/>
      <trackRevisions>false</trackRevisions>
    </reviewItem>
    <reviewItem>
      <errorID>5f0fb433-fc20-40b5-b64f-1f1efb010674</errorID>
      <errorWord>,</errorWord>
      <group>L1_Format</group>
      <groupName>格式问题</groupName>
      <ability>L2_HalfPunc</ability>
      <abilityName>全半角检查</abilityName>
      <candidateList>
        <item>，</item>
      </candidateList>
      <explain>文本全半角错误。</explain>
      <paraID>108E7D7E</paraID>
      <start>31</start>
      <end>32</end>
      <status>unmodified</status>
      <modifiedWord/>
      <trackRevisions>false</trackRevisions>
    </reviewItem>
    <reviewItem>
      <errorID>151e7fa3-3125-4d9a-bf25-b4a8f8f35259</errorID>
      <errorWord>,</errorWord>
      <group>L1_Format</group>
      <groupName>格式问题</groupName>
      <ability>L2_HalfPunc</ability>
      <abilityName>全半角检查</abilityName>
      <candidateList>
        <item>，</item>
      </candidateList>
      <explain>文本全半角错误。</explain>
      <paraID>108E7D7E</paraID>
      <start>41</start>
      <end>42</end>
      <status>unmodified</status>
      <modifiedWord/>
      <trackRevisions>false</trackRevisions>
    </reviewItem>
    <reviewItem>
      <errorID>4083e062-c8f8-4592-86b0-36f7c6ccffb0</errorID>
      <errorWord>,</errorWord>
      <group>L1_Format</group>
      <groupName>格式问题</groupName>
      <ability>L2_HalfPunc</ability>
      <abilityName>全半角检查</abilityName>
      <candidateList>
        <item>，</item>
      </candidateList>
      <explain>文本全半角错误。</explain>
      <paraID>108E7D7E</paraID>
      <start>58</start>
      <end>59</end>
      <status>unmodified</status>
      <modifiedWord/>
      <trackRevisions>false</trackRevisions>
    </reviewItem>
    <reviewItem>
      <errorID>fa5f94a1-9d7b-4969-907f-0f3e1a6a2bef</errorID>
      <errorWord>(</errorWord>
      <group>L1_Format</group>
      <groupName>格式问题</groupName>
      <ability>L2_HalfPunc</ability>
      <abilityName>全半角检查</abilityName>
      <candidateList>
        <item>（</item>
      </candidateList>
      <explain>文本全半角错误。</explain>
      <paraID>  30F2B9</paraID>
      <start>30</start>
      <end>31</end>
      <status>unmodified</status>
      <modifiedWord/>
      <trackRevisions>false</trackRevisions>
    </reviewItem>
    <reviewItem>
      <errorID>6020b614-eab1-4420-b354-b4fbc4301d07</errorID>
      <errorWord>)</errorWord>
      <group>L1_Format</group>
      <groupName>格式问题</groupName>
      <ability>L2_HalfPunc</ability>
      <abilityName>全半角检查</abilityName>
      <candidateList>
        <item>）</item>
      </candidateList>
      <explain>文本全半角错误。</explain>
      <paraID>  30F2B9</paraID>
      <start>39</start>
      <end>40</end>
      <status>unmodified</status>
      <modifiedWord/>
      <trackRevisions>false</trackRevisions>
    </reviewItem>
    <reviewItem>
      <errorID>55ad021b-b792-4e16-9b1b-314c5cd65756</errorID>
      <errorWord>,</errorWord>
      <group>L1_Format</group>
      <groupName>格式问题</groupName>
      <ability>L2_HalfPunc</ability>
      <abilityName>全半角检查</abilityName>
      <candidateList>
        <item>，</item>
      </candidateList>
      <explain>文本全半角错误。</explain>
      <paraID>6AF0F853</paraID>
      <start>13</start>
      <end>14</end>
      <status>unmodified</status>
      <modifiedWord/>
      <trackRevisions>false</trackRevisions>
    </reviewItem>
    <reviewItem>
      <errorID>50a692aa-0fea-4b15-9b76-23e471b64e4d</errorID>
      <errorWord>,</errorWord>
      <group>L1_Format</group>
      <groupName>格式问题</groupName>
      <ability>L2_HalfPunc</ability>
      <abilityName>全半角检查</abilityName>
      <candidateList>
        <item>，</item>
      </candidateList>
      <explain>文本全半角错误。</explain>
      <paraID>6AF0F853</paraID>
      <start>24</start>
      <end>25</end>
      <status>unmodified</status>
      <modifiedWord/>
      <trackRevisions>false</trackRevisions>
    </reviewItem>
    <reviewItem>
      <errorID>abc9d335-fe41-45b3-917e-7b9be6249c68</errorID>
      <errorWord>,</errorWord>
      <group>L1_Format</group>
      <groupName>格式问题</groupName>
      <ability>L2_HalfPunc</ability>
      <abilityName>全半角检查</abilityName>
      <candidateList>
        <item>，</item>
      </candidateList>
      <explain>文本全半角错误。</explain>
      <paraID>51FE08B5</paraID>
      <start>38</start>
      <end>39</end>
      <status>unmodified</status>
      <modifiedWord/>
      <trackRevisions>false</trackRevisions>
    </reviewItem>
    <reviewItem>
      <errorID>79860baa-6b66-4f0a-83d1-01aa6f721961</errorID>
      <errorWord>，</errorWord>
      <group>L1_Word</group>
      <groupName>字词问题</groupName>
      <ability>L2_Typo</ability>
      <abilityName>字词错误</abilityName>
      <candidateList>
        <item>，经</item>
      </candidateList>
      <explain/>
      <paraID>29BB954C</paraID>
      <start>50</start>
      <end>51</end>
      <status>unmodified</status>
      <modifiedWord/>
      <trackRevisions>false</trackRevisions>
    </reviewItem>
    <reviewItem>
      <errorID>954e77af-154a-4f3d-b91d-862587f90f10</errorID>
      <errorWord>提出质疑</errorWord>
      <group>L1_Grammar</group>
      <groupName>语法问题</groupName>
      <ability>L2_Grammar</ability>
      <abilityName>语法错误</abilityName>
      <candidateList>
        <item>质疑</item>
      </candidateList>
      <explain>〈动〉提出疑问：～问难。</explain>
      <paraID> F55F409</paraID>
      <start>115</start>
      <end>119</end>
      <status>unmodified</status>
      <modifiedWord/>
      <trackRevisions>false</trackRevisions>
    </reviewItem>
    <reviewItem>
      <errorID>eb0d688b-1532-4005-a33c-dc888ed78314</errorID>
      <errorWord>,</errorWord>
      <group>L1_Format</group>
      <groupName>格式问题</groupName>
      <ability>L2_HalfPunc</ability>
      <abilityName>全半角检查</abilityName>
      <candidateList>
        <item>，</item>
      </candidateList>
      <explain>文本全半角错误。</explain>
      <paraID>736E5EB9</paraID>
      <start>39</start>
      <end>40</end>
      <status>unmodified</status>
      <modifiedWord/>
      <trackRevisions>false</trackRevisions>
    </reviewItem>
    <reviewItem>
      <errorID>e806b352-da20-4690-a197-b4d5ac17382e</errorID>
      <errorWord>,</errorWord>
      <group>L1_Format</group>
      <groupName>格式问题</groupName>
      <ability>L2_HalfPunc</ability>
      <abilityName>全半角检查</abilityName>
      <candidateList>
        <item>，</item>
      </candidateList>
      <explain>文本全半角错误。</explain>
      <paraID>78706F92</paraID>
      <start>54</start>
      <end>55</end>
      <status>unmodified</status>
      <modifiedWord/>
      <trackRevisions>false</trackRevisions>
    </reviewItem>
    <reviewItem>
      <errorID>90d32a7b-6f5b-45ab-a724-cd54269e2cc3</errorID>
      <errorWord>即</errorWord>
      <group>L1_Word</group>
      <groupName>字词问题</groupName>
      <ability>L2_Typo</ability>
      <abilityName>字词错误</abilityName>
      <candidateList>
        <item>即在</item>
      </candidateList>
      <explain/>
      <paraID>637664F8</paraID>
      <start>15</start>
      <end>16</end>
      <status>unmodified</status>
      <modifiedWord/>
      <trackRevisions>false</trackRevisions>
    </reviewItem>
    <reviewItem>
      <errorID>1477f44a-5220-44ad-af1e-1f77f453cbdd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4093AE03</paraID>
      <start>3</start>
      <end>4</end>
      <status>unmodified</status>
      <modifiedWord/>
      <trackRevisions>false</trackRevisions>
    </reviewItem>
    <reviewItem>
      <errorID>dae65000-e4fc-4b7f-b9fe-8fdb15d5731b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8DC6489</paraID>
      <start>3</start>
      <end>4</end>
      <status>unmodified</status>
      <modifiedWord/>
      <trackRevisions>false</trackRevisions>
    </reviewItem>
    <reviewItem>
      <errorID>a65acf5b-f029-4973-9b08-459fa97ab832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8DC6489</paraID>
      <start>10</start>
      <end>11</end>
      <status>unmodified</status>
      <modifiedWord/>
      <trackRevisions>false</trackRevisions>
    </reviewItem>
    <reviewItem>
      <errorID>521367d8-f296-4f10-9617-6da70e38cece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2F60E1AE</paraID>
      <start>55</start>
      <end>56</end>
      <status>unmodified</status>
      <modifiedWord/>
      <trackRevisions>false</trackRevisions>
    </reviewItem>
    <reviewItem>
      <errorID>04a7d108-881b-4077-b628-ed69a9958d3c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21714432</paraID>
      <start>24</start>
      <end>25</end>
      <status>unmodified</status>
      <modifiedWord/>
      <trackRevisions>false</trackRevisions>
    </reviewItem>
    <reviewItem>
      <errorID>21af0e89-fad5-4472-8377-f6294d26fb66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48F691E</paraID>
      <start>63</start>
      <end>64</end>
      <status>unmodified</status>
      <modifiedWord/>
      <trackRevisions>false</trackRevisions>
    </reviewItem>
    <reviewItem>
      <errorID>05668c7b-cabd-4c62-8510-7c5edcf8cfd3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1DC2AE1B</paraID>
      <start>39</start>
      <end>40</end>
      <status>unmodified</status>
      <modifiedWord/>
      <trackRevisions>false</trackRevisions>
    </reviewItem>
    <reviewItem>
      <errorID>c090fff0-0b4e-479e-a511-66d9018b36e6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56FB511D</paraID>
      <start>54</start>
      <end>55</end>
      <status>unmodified</status>
      <modifiedWord/>
      <trackRevisions>false</trackRevisions>
    </reviewItem>
    <reviewItem>
      <errorID>53b70b24-366a-40d1-8c3b-0b7593a96dbb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2AEFD911</paraID>
      <start>38</start>
      <end>39</end>
      <status>unmodified</status>
      <modifiedWord/>
      <trackRevisions>false</trackRevisions>
    </reviewItem>
    <reviewItem>
      <errorID>4185ba62-4ce4-4d40-bb82-bfb1de424c7a</errorID>
      <errorWord>,</errorWord>
      <group>L1_Format</group>
      <groupName>格式问题</groupName>
      <ability>L2_HalfPunc</ability>
      <abilityName>全半角检查</abilityName>
      <candidateList>
        <item>，</item>
      </candidateList>
      <explain>文本全半角错误。</explain>
      <paraID>329224D6</paraID>
      <start>22</start>
      <end>23</end>
      <status>unmodified</status>
      <modifiedWord/>
      <trackRevisions>false</trackRevisions>
    </reviewItem>
    <reviewItem>
      <errorID>66c2cab9-7d19-4b47-a67e-76253f9aeda9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60DCCD03</paraID>
      <start>0</start>
      <end>2</end>
      <status>unmodified</status>
      <modifiedWord/>
      <trackRevisions>false</trackRevisions>
    </reviewItem>
    <reviewItem>
      <errorID>f362e161-38ec-483b-82c2-ad76eca9fb20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5ED01CE9</paraID>
      <start>0</start>
      <end>2</end>
      <status>unmodified</status>
      <modifiedWord/>
      <trackRevisions>false</trackRevisions>
    </reviewItem>
    <reviewItem>
      <errorID>74b03a95-2444-4605-ba14-f7ac614fc9fd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5AB29FB6</paraID>
      <start>0</start>
      <end>2</end>
      <status>unmodified</status>
      <modifiedWord/>
      <trackRevisions>false</trackRevisions>
    </reviewItem>
    <reviewItem>
      <errorID>24eab75f-83d5-4063-acb2-b4c5cfb88486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B6C6B14</paraID>
      <start>0</start>
      <end>2</end>
      <status>unmodified</status>
      <modifiedWord/>
      <trackRevisions>false</trackRevisions>
    </reviewItem>
    <reviewItem>
      <errorID>48847d96-c245-4119-be23-f18e81db50a5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78BEE2E8</paraID>
      <start>0</start>
      <end>2</end>
      <status>unmodified</status>
      <modifiedWord/>
      <trackRevisions>false</trackRevisions>
    </reviewItem>
    <reviewItem>
      <errorID>c322276c-f2f5-429d-a598-2782b8cd0e90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1D20439E</paraID>
      <start>0</start>
      <end>2</end>
      <status>unmodified</status>
      <modifiedWord/>
      <trackRevisions>false</trackRevisions>
    </reviewItem>
    <reviewItem>
      <errorID>535c0cf9-531b-4216-be48-a7db2270da61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601D8637</paraID>
      <start>0</start>
      <end>2</end>
      <status>unmodified</status>
      <modifiedWord/>
      <trackRevisions>false</trackRevisions>
    </reviewItem>
    <reviewItem>
      <errorID>c6508529-5c51-4d0f-8d8d-dc268826c159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45BE7758</paraID>
      <start>0</start>
      <end>2</end>
      <status>unmodified</status>
      <modifiedWord/>
      <trackRevisions>false</trackRevisions>
    </reviewItem>
    <reviewItem>
      <errorID>0bb0b3af-d392-451a-9b01-9853ca48c149</errorID>
      <errorWord>:</errorWord>
      <group>L1_Format</group>
      <groupName>格式问题</groupName>
      <ability>L2_HalfPunc</ability>
      <abilityName>全半角检查</abilityName>
      <candidateList>
        <item>：</item>
      </candidateList>
      <explain>文本全半角错误。</explain>
      <paraID>45BE7758</paraID>
      <start>19</start>
      <end>20</end>
      <status>unmodified</status>
      <modifiedWord/>
      <trackRevisions>false</trackRevisions>
    </reviewItem>
    <reviewItem>
      <errorID>52e5d66c-a918-4e4f-b2c5-5a91d9a56c0e</errorID>
      <errorWord>:</errorWord>
      <group>L1_Format</group>
      <groupName>格式问题</groupName>
      <ability>L2_HalfPunc</ability>
      <abilityName>全半角检查</abilityName>
      <candidateList>
        <item>：</item>
      </candidateList>
      <explain>文本全半角错误。</explain>
      <paraID>7B8297BA</paraID>
      <start>8</start>
      <end>9</end>
      <status>unmodified</status>
      <modifiedWord/>
      <trackRevisions>false</trackRevisions>
    </reviewItem>
    <reviewItem>
      <errorID>69ce99c5-39a3-407f-8454-929499032d00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8B5A6B5</paraID>
      <start>0</start>
      <end>2</end>
      <status>unmodified</status>
      <modifiedWord/>
      <trackRevisions>false</trackRevisions>
    </reviewItem>
    <reviewItem>
      <errorID>fa16a427-ff20-45df-ad64-5762d2eb0df0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7EA927CE</paraID>
      <start>0</start>
      <end>2</end>
      <status>unmodified</status>
      <modifiedWord/>
      <trackRevisions>false</trackRevisions>
    </reviewItem>
    <reviewItem>
      <errorID>07e2b2c7-8fc5-4536-bc6d-0e4dd5a6330b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BCF1738</paraID>
      <start>0</start>
      <end>2</end>
      <status>unmodified</status>
      <modifiedWord/>
      <trackRevisions>false</trackRevisions>
    </reviewItem>
    <reviewItem>
      <errorID>4a4c05ed-87aa-4439-903f-a82115059b4f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6AA9DA4A</paraID>
      <start>0</start>
      <end>2</end>
      <status>unmodified</status>
      <modifiedWord/>
      <trackRevisions>false</trackRevisions>
    </reviewItem>
    <reviewItem>
      <errorID>fc237d07-9b71-42ba-a033-7b561855a321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74DD8D45</paraID>
      <start>0</start>
      <end>2</end>
      <status>unmodified</status>
      <modifiedWord/>
      <trackRevisions>false</trackRevisions>
    </reviewItem>
    <reviewItem>
      <errorID>d9f258a1-f0ef-41f1-bd00-2e8abca41b50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5A6D3171</paraID>
      <start>0</start>
      <end>2</end>
      <status>unmodified</status>
      <modifiedWord/>
      <trackRevisions>false</trackRevisions>
    </reviewItem>
    <reviewItem>
      <errorID>5b9b8d58-30da-413d-9268-c84cd661a06a</errorID>
      <errorWord>侵犯其它</errorWord>
      <group>L1_Word</group>
      <groupName>字词问题</groupName>
      <ability>L2_Alias</ability>
      <abilityName>也作/曾用词</abilityName>
      <candidateList>
        <item>侵犯其他</item>
      </candidateList>
      <explain>词汇[侵犯其它]为不规范表述或旧称，其规范书面表述为[侵犯其他]。</explain>
      <paraID>5A6D3171</paraID>
      <start>72</start>
      <end>76</end>
      <status>unmodified</status>
      <modifiedWord/>
      <trackRevisions>false</trackRevisions>
    </reviewItem>
    <reviewItem>
      <errorID>acc2ddad-e2fc-401a-b45f-64b61e46d883</errorID>
      <errorWord>方</errorWord>
      <group>L1_Word</group>
      <groupName>字词问题</groupName>
      <ability>L2_Typo</ability>
      <abilityName>字词错误</abilityName>
      <candidateList>
        <item>方在</item>
      </candidateList>
      <explain/>
      <paraID>5B8CC4B9</paraID>
      <start>3</start>
      <end>4</end>
      <status>unmodified</status>
      <modifiedWord/>
      <trackRevisions>false</trackRevisions>
    </reviewItem>
    <reviewItem>
      <errorID>998a55cc-fc81-42d6-b6d8-167273c9e1e4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4FBC3E90</paraID>
      <start>0</start>
      <end>2</end>
      <status>unmodified</status>
      <modifiedWord/>
      <trackRevisions>false</trackRevisions>
    </reviewItem>
    <reviewItem>
      <errorID>9ac2ba44-e0e0-4f45-99e5-b96766bee79d</errorID>
      <errorWord>肆</errorWord>
      <group>L1_Word</group>
      <groupName>字词问题</groupName>
      <ability>L2_Typo</ability>
      <abilityName>字词错误</abilityName>
      <candidateList>
        <item>四</item>
      </candidateList>
      <explain>存在发音相同字词的误用。</explain>
      <paraID> A8F273F</paraID>
      <start>12</start>
      <end>13</end>
      <status>unmodified</status>
      <modifiedWord/>
      <trackRevisions>false</trackRevisions>
    </reviewItem>
    <reviewItem>
      <errorID>5fc5d4b9-3513-48c0-baac-607dafb7c14c</errorID>
      <errorWord>其它</errorWord>
      <group>L1_Word</group>
      <groupName>字词问题</groupName>
      <ability>L2_Alias</ability>
      <abilityName>也作/曾用词</abilityName>
      <candidateList>
        <item>其他</item>
      </candidateList>
      <explain>词汇[其它]为不规范表述或旧称，其规范书面表述为[其他]。</explain>
      <paraID>52309E0E</paraID>
      <start>15</start>
      <end>17</end>
      <status>unmodified</status>
      <modifiedWord/>
      <trackRevisions>false</trackRevisions>
    </reviewItem>
    <reviewItem>
      <errorID>373ec48e-1efc-49dd-9c7d-db4c931a8f4f</errorID>
      <errorWord>作</errorWord>
      <group>L1_Word</group>
      <groupName>字词问题</groupName>
      <ability>L2_Typo</ability>
      <abilityName>字词错误</abilityName>
      <candidateList>
        <item>做</item>
      </candidateList>
      <explain>存在发音相同字词的误用。</explain>
      <paraID>5683A7AE</paraID>
      <start>42</start>
      <end>43</end>
      <status>unmodified</status>
      <modifiedWord/>
      <trackRevisions>false</trackRevisions>
    </reviewItem>
    <reviewItem>
      <errorID>5f70cf48-4e0f-4a4a-a53a-95a331278dbe</errorID>
      <errorWord>应</errorWord>
      <group>L1_Word</group>
      <groupName>字词问题</groupName>
      <ability>L2_Typo</ability>
      <abilityName>字词错误</abilityName>
      <candidateList>
        <item>应为</item>
      </candidateList>
      <explain/>
      <paraID> 482090E</paraID>
      <start>4</start>
      <end>5</end>
      <status>unmodified</status>
      <modifiedWord/>
      <trackRevisions>false</trackRevisions>
    </reviewItem>
    <reviewItem>
      <errorID>948e9be3-0363-4fd5-9b04-fea92ad5783e</errorID>
      <errorWord>噪音</errorWord>
      <group>L1_Word</group>
      <groupName>字词问题</groupName>
      <ability>L2_Alias</ability>
      <abilityName>也作/曾用词</abilityName>
      <candidateList>
        <item>噪声</item>
      </candidateList>
      <explain>词汇[噪音]为不规范表述或旧称，其规范书面表述为[噪声]。</explain>
      <paraID>7564F7F5</paraID>
      <start>17</start>
      <end>19</end>
      <status>unmodified</status>
      <modifiedWord/>
      <trackRevisions>false</trackRevisions>
    </reviewItem>
    <reviewItem>
      <errorID>0438f674-1e82-4f97-9640-4977f8b9f813</errorID>
      <errorWord>其它</errorWord>
      <group>L1_Word</group>
      <groupName>字词问题</groupName>
      <ability>L2_Alias</ability>
      <abilityName>也作/曾用词</abilityName>
      <candidateList>
        <item>其他</item>
      </candidateList>
      <explain>词汇[其它]为不规范表述或旧称，其规范书面表述为[其他]。</explain>
      <paraID>5DBD5B7A</paraID>
      <start>33</start>
      <end>35</end>
      <status>unmodified</status>
      <modifiedWord/>
      <trackRevisions>false</trackRevisions>
    </reviewItem>
    <reviewItem>
      <errorID>78feeefe-85c9-4b33-90ef-393fc67d42af</errorID>
      <errorWord>车辆交汇</errorWord>
      <group>L1_Word</group>
      <groupName>字词问题</groupName>
      <ability>L2_Typo</ability>
      <abilityName>字词错误</abilityName>
      <candidateList>
        <item>车辆交会</item>
      </candidateList>
      <explain/>
      <paraID>24354783</paraID>
      <start>83</start>
      <end>87</end>
      <status>unmodified</status>
      <modifiedWord/>
      <trackRevisions>false</trackRevisions>
    </reviewItem>
    <reviewItem>
      <errorID>6f23da6f-ff82-4ff4-b28b-e66a381153de</errorID>
      <errorWord>(</errorWord>
      <group>L1_Format</group>
      <groupName>格式问题</groupName>
      <ability>L2_HalfPunc</ability>
      <abilityName>全半角检查</abilityName>
      <candidateList>
        <item>（</item>
      </candidateList>
      <explain>文本全半角错误。</explain>
      <paraID>6902BC83</paraID>
      <start>54</start>
      <end>55</end>
      <status>unmodified</status>
      <modifiedWord/>
      <trackRevisions>false</trackRevisions>
    </reviewItem>
    <reviewItem>
      <errorID>f1ed6e5c-d6f2-4865-a21d-b138811af9f0</errorID>
      <errorWord>其它</errorWord>
      <group>L1_Word</group>
      <groupName>字词问题</groupName>
      <ability>L2_Alias</ability>
      <abilityName>也作/曾用词</abilityName>
      <candidateList>
        <item>其他</item>
      </candidateList>
      <explain>词汇[其它]为不规范表述或旧称，其规范书面表述为[其他]。</explain>
      <paraID>6902BC83</paraID>
      <start>65</start>
      <end>67</end>
      <status>unmodified</status>
      <modifiedWord/>
      <trackRevisions>false</trackRevisions>
    </reviewItem>
    <reviewItem>
      <errorID>2b7242c9-2e75-4065-8eee-e6aefa05c3e1</errorID>
      <errorWord>)</errorWord>
      <group>L1_Format</group>
      <groupName>格式问题</groupName>
      <ability>L2_HalfPunc</ability>
      <abilityName>全半角检查</abilityName>
      <candidateList>
        <item>）</item>
      </candidateList>
      <explain>文本全半角错误。</explain>
      <paraID>6902BC83</paraID>
      <start>83</start>
      <end>84</end>
      <status>unmodified</status>
      <modifiedWord/>
      <trackRevisions>false</trackRevisions>
    </reviewItem>
    <reviewItem>
      <errorID>8067b92b-339a-4106-8f98-04a9cb5aeeaa</errorID>
      <errorWord>一-</errorWord>
      <group>L1_Punc</group>
      <groupName>标点问题</groupName>
      <ability>L2_Punc</ability>
      <abilityName>标点符号检查</abilityName>
      <candidateList>
        <item>一</item>
      </candidateList>
      <explain/>
      <paraID>  246BE9</paraID>
      <start>3</start>
      <end>5</end>
      <status>unmodified</status>
      <modifiedWord/>
      <trackRevisions>false</trackRevisions>
    </reviewItem>
    <reviewItem>
      <errorID>c9f8c59b-c435-464c-9ab1-42f3a933f767</errorID>
      <errorWord>一-</errorWord>
      <group>L1_Punc</group>
      <groupName>标点问题</groupName>
      <ability>L2_Punc</ability>
      <abilityName>标点符号检查</abilityName>
      <candidateList>
        <item>一</item>
      </candidateList>
      <explain/>
      <paraID>60379002</paraID>
      <start>2</start>
      <end>4</end>
      <status>unmodified</status>
      <modifiedWord/>
      <trackRevisions>false</trackRevisions>
    </reviewItem>
    <reviewItem>
      <errorID>b455f755-38bd-4dde-8225-98ae4e8d6bb6</errorID>
      <errorWord>(</errorWord>
      <group>L1_Format</group>
      <groupName>格式问题</groupName>
      <ability>L2_HalfPunc</ability>
      <abilityName>全半角检查</abilityName>
      <candidateList>
        <item>（</item>
      </candidateList>
      <explain>文本全半角错误。</explain>
      <paraID>67182171</paraID>
      <start>7</start>
      <end>8</end>
      <status>unmodified</status>
      <modifiedWord/>
      <trackRevisions>false</trackRevisions>
    </reviewItem>
    <reviewItem>
      <errorID>38c0d9db-ffed-4521-9de2-714ed0528ce4</errorID>
      <errorWord>)</errorWord>
      <group>L1_Format</group>
      <groupName>格式问题</groupName>
      <ability>L2_HalfPunc</ability>
      <abilityName>全半角检查</abilityName>
      <candidateList>
        <item>）</item>
      </candidateList>
      <explain>文本全半角错误。</explain>
      <paraID>67182171</paraID>
      <start>11</start>
      <end>12</end>
      <status>unmodified</status>
      <modifiedWord/>
      <trackRevisions>false</trackRevisions>
    </reviewItem>
    <reviewItem>
      <errorID>2435b8dd-6687-42cc-962b-ae5348f79431</errorID>
      <errorWord>(</errorWord>
      <group>L1_Format</group>
      <groupName>格式问题</groupName>
      <ability>L2_HalfPunc</ability>
      <abilityName>全半角检查</abilityName>
      <candidateList>
        <item>（</item>
      </candidateList>
      <explain>文本全半角错误。</explain>
      <paraID>2478D2CC</paraID>
      <start>4</start>
      <end>5</end>
      <status>unmodified</status>
      <modifiedWord/>
      <trackRevisions>false</trackRevisions>
    </reviewItem>
    <reviewItem>
      <errorID>8fa340c0-df3a-4102-9a8e-739eeed01447</errorID>
      <errorWord>其它</errorWord>
      <group>L1_Word</group>
      <groupName>字词问题</groupName>
      <ability>L2_Alias</ability>
      <abilityName>也作/曾用词</abilityName>
      <candidateList>
        <item>其他</item>
      </candidateList>
      <explain>词汇[其它]为不规范表述或旧称，其规范书面表述为[其他]。</explain>
      <paraID>2478D2CC</paraID>
      <start>15</start>
      <end>17</end>
      <status>unmodified</status>
      <modifiedWord/>
      <trackRevisions>false</trackRevisions>
    </reviewItem>
    <reviewItem>
      <errorID>6e5aef29-2465-422d-a312-dd79def4cb97</errorID>
      <errorWord>)</errorWord>
      <group>L1_Format</group>
      <groupName>格式问题</groupName>
      <ability>L2_HalfPunc</ability>
      <abilityName>全半角检查</abilityName>
      <candidateList>
        <item>）</item>
      </candidateList>
      <explain>文本全半角错误。</explain>
      <paraID>2478D2CC</paraID>
      <start>26</start>
      <end>27</end>
      <status>unmodified</status>
      <modifiedWord/>
      <trackRevisions>false</trackRevisions>
    </reviewItem>
    <reviewItem>
      <errorID>7e5cc423-c0ef-4d36-9827-25311c2de7a9</errorID>
      <errorWord>评价评价</errorWord>
      <group>L1_Word</group>
      <groupName>字词问题</groupName>
      <ability>L2_Typo</ability>
      <abilityName>字词错误</abilityName>
      <candidateList>
        <item>评价</item>
      </candidateList>
      <explain/>
      <paraID>6D54B338</paraID>
      <start>48</start>
      <end>52</end>
      <status>unmodified</status>
      <modifiedWord/>
      <trackRevisions>false</trackRevisions>
    </reviewItem>
    <reviewItem>
      <errorID>30fcf342-ba32-4d55-8d50-91eb72619993</errorID>
      <errorWord>:</errorWord>
      <group>L1_Format</group>
      <groupName>格式问题</groupName>
      <ability>L2_HalfPunc</ability>
      <abilityName>全半角检查</abilityName>
      <candidateList>
        <item>：</item>
      </candidateList>
      <explain>文本全半角错误。</explain>
      <paraID>41D3AF37</paraID>
      <start>25</start>
      <end>26</end>
      <status>unmodified</status>
      <modifiedWord/>
      <trackRevisions>false</trackRevisions>
    </reviewItem>
    <reviewItem>
      <errorID>3d9c5903-ddde-4e7d-974f-638f77e16744</errorID>
      <errorWord>本</errorWord>
      <group>L1_Word</group>
      <groupName>字词问题</groupName>
      <ability>L2_Typo</ability>
      <abilityName>字词错误</abilityName>
      <candidateList>
        <item>本次</item>
      </candidateList>
      <explain/>
      <paraID>41D3AF37</paraID>
      <start>90</start>
      <end>91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EB4673-4256-4477-BBEA-BECE2A788564}">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13445</Words>
  <Characters>14200</Characters>
  <Lines>262</Lines>
  <Paragraphs>73</Paragraphs>
  <TotalTime>0</TotalTime>
  <ScaleCrop>false</ScaleCrop>
  <LinksUpToDate>false</LinksUpToDate>
  <CharactersWithSpaces>14395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2023-08-18T08:26:00Z</dcterms:created>
  <dc:creator>Yzp</dc:creator>
  <cp:lastModifiedBy>羊奕杭</cp:lastModifiedBy>
  <cp:lastPrinted>2025-12-08T01:41:00Z</cp:lastPrinted>
  <dcterms:modified xsi:type="dcterms:W3CDTF">2026-03-30T05:25:55Z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1C037C7C604F4CF5B8BD1746F6A352A1_13</vt:lpwstr>
  </property>
  <property fmtid="{D5CDD505-2E9C-101B-9397-08002B2CF9AE}" pid="4" name="KSOTemplateDocerSaveRecord">
    <vt:lpwstr>eyJoZGlkIjoiNzFmMDQyYzgyZDllZjA5MTdlMWJiYjJjZGZmYTA5N2YiLCJ1c2VySWQiOiI3OTU5Nzc1ODIifQ==</vt:lpwstr>
  </property>
</Properties>
</file>